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3D1AED" w14:textId="067801BE" w:rsidR="00AF5843" w:rsidRPr="008F786B" w:rsidRDefault="00AF5843" w:rsidP="00AF584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Pr="008F786B">
        <w:rPr>
          <w:rFonts w:ascii="Arial" w:eastAsia="SimSun" w:hAnsi="Arial" w:cs="Times New Roman"/>
          <w:b/>
          <w:sz w:val="24"/>
          <w:szCs w:val="20"/>
        </w:rPr>
        <w:t>WG4 Meeting #113</w:t>
      </w:r>
      <w:r w:rsidRPr="008F786B">
        <w:rPr>
          <w:rFonts w:ascii="Arial" w:eastAsia="SimSun" w:hAnsi="Arial" w:cs="Times New Roman"/>
          <w:b/>
          <w:bCs/>
          <w:sz w:val="24"/>
          <w:szCs w:val="20"/>
        </w:rPr>
        <w:tab/>
      </w:r>
      <w:r w:rsidR="00074897" w:rsidRPr="00074897">
        <w:rPr>
          <w:rFonts w:ascii="Arial" w:eastAsia="SimSun" w:hAnsi="Arial" w:cs="Times New Roman"/>
          <w:b/>
          <w:bCs/>
          <w:sz w:val="24"/>
          <w:szCs w:val="20"/>
          <w:lang w:eastAsia="ja-JP"/>
        </w:rPr>
        <w:t>R4-2419626</w:t>
      </w:r>
    </w:p>
    <w:p w14:paraId="733EDA59" w14:textId="77777777" w:rsidR="00AF5843" w:rsidRPr="008F786B" w:rsidRDefault="00AF5843" w:rsidP="00AF584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F786B">
        <w:rPr>
          <w:rFonts w:ascii="Arial" w:eastAsia="SimSun" w:hAnsi="Arial" w:cs="Times New Roman"/>
          <w:b/>
          <w:sz w:val="24"/>
          <w:szCs w:val="20"/>
        </w:rPr>
        <w:t>Orlando, US, Nov 18</w:t>
      </w:r>
      <w:r>
        <w:rPr>
          <w:rFonts w:ascii="Arial" w:eastAsia="SimSun" w:hAnsi="Arial" w:cs="Times New Roman"/>
          <w:b/>
          <w:sz w:val="24"/>
          <w:szCs w:val="20"/>
        </w:rPr>
        <w:t>th</w:t>
      </w:r>
      <w:r w:rsidRPr="008F786B">
        <w:rPr>
          <w:rFonts w:ascii="Arial" w:eastAsia="SimSun" w:hAnsi="Arial" w:cs="Times New Roman"/>
          <w:b/>
          <w:sz w:val="24"/>
          <w:szCs w:val="20"/>
        </w:rPr>
        <w:t xml:space="preserve"> – Nov 22</w:t>
      </w:r>
      <w:r>
        <w:rPr>
          <w:rFonts w:ascii="Arial" w:eastAsia="SimSun" w:hAnsi="Arial" w:cs="Times New Roman"/>
          <w:b/>
          <w:sz w:val="24"/>
          <w:szCs w:val="20"/>
        </w:rPr>
        <w:t>nd</w:t>
      </w:r>
      <w:r w:rsidRPr="008F786B">
        <w:rPr>
          <w:rFonts w:ascii="Arial" w:eastAsia="SimSun" w:hAnsi="Arial" w:cs="Times New Roman"/>
          <w:b/>
          <w:sz w:val="24"/>
          <w:szCs w:val="20"/>
        </w:rPr>
        <w:t>, 2024</w:t>
      </w:r>
    </w:p>
    <w:bookmarkEnd w:id="0"/>
    <w:bookmarkEnd w:id="1"/>
    <w:p w14:paraId="6FCFACF2" w14:textId="77777777" w:rsidR="00841BCD" w:rsidRPr="00AF5843"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D2AC0B8"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C301B26" w14:textId="741ECCB1" w:rsidR="00841BCD" w:rsidRPr="0049393F" w:rsidRDefault="00841BCD" w:rsidP="00841BCD">
      <w:pPr>
        <w:ind w:left="1985" w:hanging="1985"/>
        <w:rPr>
          <w:rFonts w:ascii="Arial" w:eastAsia="Calibri" w:hAnsi="Arial" w:cs="Arial"/>
          <w:b/>
          <w:bCs/>
          <w:sz w:val="24"/>
        </w:rPr>
      </w:pPr>
      <w:r w:rsidRPr="0049393F">
        <w:rPr>
          <w:rFonts w:ascii="Arial" w:eastAsia="Calibri" w:hAnsi="Arial" w:cs="Arial"/>
          <w:b/>
          <w:bCs/>
          <w:sz w:val="24"/>
        </w:rPr>
        <w:t>Title:</w:t>
      </w:r>
      <w:r w:rsidRPr="0049393F">
        <w:rPr>
          <w:rFonts w:ascii="Arial" w:eastAsia="Calibri" w:hAnsi="Arial" w:cs="Arial"/>
          <w:b/>
          <w:bCs/>
          <w:sz w:val="24"/>
        </w:rPr>
        <w:tab/>
      </w:r>
      <w:r w:rsidR="00074897" w:rsidRPr="00074897">
        <w:rPr>
          <w:rFonts w:ascii="Arial" w:eastAsia="Calibri" w:hAnsi="Arial" w:cs="Arial"/>
          <w:b/>
          <w:bCs/>
          <w:sz w:val="24"/>
        </w:rPr>
        <w:t>(</w:t>
      </w:r>
      <w:proofErr w:type="spellStart"/>
      <w:r w:rsidR="00074897" w:rsidRPr="00074897">
        <w:rPr>
          <w:rFonts w:ascii="Arial" w:eastAsia="Calibri" w:hAnsi="Arial" w:cs="Arial"/>
          <w:b/>
          <w:bCs/>
          <w:sz w:val="24"/>
        </w:rPr>
        <w:t>NR_NTN_Solutions</w:t>
      </w:r>
      <w:proofErr w:type="spellEnd"/>
      <w:r w:rsidR="00074897" w:rsidRPr="00074897">
        <w:rPr>
          <w:rFonts w:ascii="Arial" w:eastAsia="Calibri" w:hAnsi="Arial" w:cs="Arial"/>
          <w:b/>
          <w:bCs/>
          <w:sz w:val="24"/>
        </w:rPr>
        <w:t>) On clarification of GEO and GSO definition</w:t>
      </w:r>
    </w:p>
    <w:p w14:paraId="1C8E6583" w14:textId="68D3E806" w:rsidR="00841BCD" w:rsidRPr="0049393F" w:rsidRDefault="00841BCD" w:rsidP="00841BCD">
      <w:pPr>
        <w:tabs>
          <w:tab w:val="left" w:pos="1985"/>
        </w:tabs>
        <w:spacing w:after="120" w:line="240" w:lineRule="auto"/>
        <w:rPr>
          <w:rFonts w:ascii="Arial" w:eastAsia="MS Mincho" w:hAnsi="Arial" w:cs="Arial"/>
          <w:b/>
          <w:bCs/>
          <w:sz w:val="24"/>
          <w:szCs w:val="20"/>
          <w:lang w:val="pt-BR"/>
        </w:rPr>
      </w:pPr>
      <w:r w:rsidRPr="0049393F">
        <w:rPr>
          <w:rFonts w:ascii="Arial" w:eastAsia="MS Mincho" w:hAnsi="Arial" w:cs="Arial"/>
          <w:b/>
          <w:bCs/>
          <w:sz w:val="24"/>
          <w:szCs w:val="20"/>
          <w:lang w:val="pt-BR"/>
        </w:rPr>
        <w:t>Agenda item:</w:t>
      </w:r>
      <w:r w:rsidRPr="0049393F">
        <w:rPr>
          <w:rFonts w:ascii="Arial" w:eastAsia="MS Mincho" w:hAnsi="Arial" w:cs="Arial"/>
          <w:b/>
          <w:bCs/>
          <w:sz w:val="24"/>
          <w:szCs w:val="20"/>
          <w:lang w:val="pt-BR"/>
        </w:rPr>
        <w:tab/>
      </w:r>
      <w:r w:rsidR="00BD56AC">
        <w:rPr>
          <w:rFonts w:ascii="Arial" w:eastAsia="MS Mincho" w:hAnsi="Arial" w:cs="Arial"/>
          <w:b/>
          <w:bCs/>
          <w:sz w:val="24"/>
          <w:szCs w:val="20"/>
          <w:lang w:val="pt-BR"/>
        </w:rPr>
        <w:t>4.</w:t>
      </w:r>
      <w:r w:rsidR="00AF5843">
        <w:rPr>
          <w:rFonts w:ascii="Arial" w:eastAsia="MS Mincho" w:hAnsi="Arial" w:cs="Arial"/>
          <w:b/>
          <w:bCs/>
          <w:sz w:val="24"/>
          <w:szCs w:val="20"/>
          <w:lang w:val="pt-BR"/>
        </w:rPr>
        <w:t>2.</w:t>
      </w:r>
      <w:r w:rsidR="00021767">
        <w:rPr>
          <w:rFonts w:ascii="Arial" w:eastAsia="MS Mincho" w:hAnsi="Arial" w:cs="Arial"/>
          <w:b/>
          <w:bCs/>
          <w:sz w:val="24"/>
          <w:szCs w:val="20"/>
          <w:lang w:val="pt-BR"/>
        </w:rPr>
        <w:t>2</w:t>
      </w:r>
    </w:p>
    <w:p w14:paraId="1DD90ADD"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A828393" w14:textId="77777777" w:rsidR="00E323E9" w:rsidRPr="00614DD8" w:rsidRDefault="00E323E9" w:rsidP="00841BCD">
      <w:pPr>
        <w:tabs>
          <w:tab w:val="left" w:pos="1985"/>
        </w:tabs>
        <w:rPr>
          <w:rFonts w:ascii="Arial" w:eastAsia="Calibri" w:hAnsi="Arial" w:cs="Arial"/>
          <w:b/>
          <w:bCs/>
          <w:sz w:val="24"/>
          <w:lang w:val="en-US"/>
        </w:rPr>
      </w:pPr>
    </w:p>
    <w:p w14:paraId="6BFE5639"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173EAEE9" w14:textId="3F1C398E" w:rsidR="00381F95" w:rsidRDefault="00BB7CB2" w:rsidP="005C23A4">
      <w:pPr>
        <w:rPr>
          <w:lang w:val="en-US"/>
        </w:rPr>
      </w:pPr>
      <w:r>
        <w:rPr>
          <w:lang w:val="en-US"/>
        </w:rPr>
        <w:t>This paper aims at discussing the terminology adopted in the current specification for NTN in TS 38.1</w:t>
      </w:r>
      <w:r w:rsidR="00BD56AC">
        <w:rPr>
          <w:lang w:val="en-US"/>
        </w:rPr>
        <w:t>01-5</w:t>
      </w:r>
      <w:r>
        <w:rPr>
          <w:lang w:val="en-US"/>
        </w:rPr>
        <w:t xml:space="preserve"> (Rel-17 and Rel-18). </w:t>
      </w:r>
    </w:p>
    <w:p w14:paraId="5AC8F131" w14:textId="38699C75" w:rsidR="00A520D9" w:rsidRPr="00614DD8" w:rsidRDefault="00BB7CB2" w:rsidP="004159C2">
      <w:pPr>
        <w:rPr>
          <w:lang w:val="en-US"/>
        </w:rPr>
      </w:pPr>
      <w:r>
        <w:rPr>
          <w:lang w:val="en-US"/>
        </w:rPr>
        <w:t xml:space="preserve">There are several instances in the specification </w:t>
      </w:r>
      <w:r w:rsidR="004159C2">
        <w:rPr>
          <w:lang w:val="en-US"/>
        </w:rPr>
        <w:t xml:space="preserve">where GEO terminology is used whereas in others GSO terminology is used. It is necessary to clarify the intent behind the terminology and align the wording for a clearer behavior. </w:t>
      </w:r>
      <w:r w:rsidR="00BD56AC">
        <w:rPr>
          <w:lang w:val="en-US"/>
        </w:rPr>
        <w:t xml:space="preserve">Currently, TS 38101-5 where the definition of GSO is not aligned with other specifications related to the NTN work item. </w:t>
      </w:r>
    </w:p>
    <w:p w14:paraId="69D9C8C1" w14:textId="77777777" w:rsidR="0060543D" w:rsidRPr="00614DD8" w:rsidRDefault="0060543D" w:rsidP="005C23A4">
      <w:pPr>
        <w:rPr>
          <w:lang w:val="en-US"/>
        </w:rPr>
      </w:pPr>
    </w:p>
    <w:p w14:paraId="62F779CA" w14:textId="77777777" w:rsidR="003B659E" w:rsidRPr="00614DD8" w:rsidRDefault="003B659E" w:rsidP="00AE56B1">
      <w:pPr>
        <w:pStyle w:val="RAN4H1"/>
        <w:rPr>
          <w:lang w:val="en-US"/>
        </w:rPr>
      </w:pPr>
      <w:bookmarkStart w:id="4" w:name="_Toc116995842"/>
      <w:r w:rsidRPr="00614DD8">
        <w:rPr>
          <w:lang w:val="en-US"/>
        </w:rPr>
        <w:t>Discussion</w:t>
      </w:r>
      <w:bookmarkEnd w:id="4"/>
    </w:p>
    <w:p w14:paraId="1B68BE71" w14:textId="6F87F99E" w:rsidR="00BD56AC" w:rsidRDefault="00BD56AC" w:rsidP="005C23A4">
      <w:pPr>
        <w:rPr>
          <w:lang w:val="en-US"/>
        </w:rPr>
      </w:pPr>
      <w:r>
        <w:rPr>
          <w:lang w:val="en-US"/>
        </w:rPr>
        <w:t>In TS 38.101-5, GSO satellites are defined as “</w:t>
      </w:r>
      <w:proofErr w:type="spellStart"/>
      <w:r>
        <w:rPr>
          <w:lang w:val="en-US"/>
        </w:rPr>
        <w:t>Geoestationary</w:t>
      </w:r>
      <w:proofErr w:type="spellEnd"/>
      <w:r>
        <w:rPr>
          <w:lang w:val="en-US"/>
        </w:rPr>
        <w:t xml:space="preserve"> satellite orbit”, while GEO is defined as “Geostationary Earth Orbit”.</w:t>
      </w:r>
    </w:p>
    <w:p w14:paraId="24FE5CCB" w14:textId="7FB6FC87" w:rsidR="00BD56AC" w:rsidRDefault="00BD56AC" w:rsidP="005C23A4">
      <w:pPr>
        <w:rPr>
          <w:lang w:val="en-US"/>
        </w:rPr>
      </w:pPr>
      <w:r>
        <w:rPr>
          <w:lang w:val="en-US"/>
        </w:rPr>
        <w:t xml:space="preserve">The current version of the abbreviation was introduced in RAN4 #109, by CR </w:t>
      </w:r>
      <w:r w:rsidRPr="00BD56AC">
        <w:rPr>
          <w:lang w:val="en-US"/>
        </w:rPr>
        <w:t>R4-2319859</w:t>
      </w:r>
      <w:r>
        <w:rPr>
          <w:lang w:val="en-US"/>
        </w:rPr>
        <w:t xml:space="preserve">. And the main justification was that GSO, in ITU terms represents a “Geostationary orbit”, and 3GPP should align its terminology with that adopted by ITU, such that confusion can be avoided. </w:t>
      </w:r>
    </w:p>
    <w:p w14:paraId="03FDA30F" w14:textId="1F11A84A" w:rsidR="00AF2502" w:rsidRDefault="00AF2502" w:rsidP="005C23A4">
      <w:pPr>
        <w:rPr>
          <w:lang w:val="en-US"/>
        </w:rPr>
      </w:pPr>
      <w:r>
        <w:rPr>
          <w:lang w:val="en-US"/>
        </w:rPr>
        <w:t xml:space="preserve">The justification has its merits, as some RF requirements were designed with pointers for the ITU specification. However, the change of terminology is not simply an editorial change, it impacts the specification and change the applicability of the rules designed for this specification. </w:t>
      </w:r>
    </w:p>
    <w:p w14:paraId="73292D72" w14:textId="3070864F" w:rsidR="008C2F5C" w:rsidRDefault="008C2F5C" w:rsidP="005C23A4">
      <w:pPr>
        <w:rPr>
          <w:lang w:val="en-US"/>
        </w:rPr>
      </w:pPr>
      <w:r>
        <w:rPr>
          <w:lang w:val="en-US"/>
        </w:rPr>
        <w:t xml:space="preserve">Geostationary satellites (or geosynchronous equatorial satellites) are a subset of geosynchronous satellites and restricting the subset of </w:t>
      </w:r>
      <w:proofErr w:type="spellStart"/>
      <w:r>
        <w:rPr>
          <w:lang w:val="en-US"/>
        </w:rPr>
        <w:t>satellties</w:t>
      </w:r>
      <w:proofErr w:type="spellEnd"/>
      <w:r>
        <w:rPr>
          <w:lang w:val="en-US"/>
        </w:rPr>
        <w:t xml:space="preserve"> in this work item would eliminate significant market applications while discarding some of the work during this work item.   </w:t>
      </w:r>
    </w:p>
    <w:p w14:paraId="202804C2" w14:textId="3CD991B6" w:rsidR="00BD56AC" w:rsidRDefault="00A75792" w:rsidP="005C23A4">
      <w:pPr>
        <w:rPr>
          <w:lang w:val="en-US"/>
        </w:rPr>
      </w:pPr>
      <w:r>
        <w:rPr>
          <w:lang w:val="en-US"/>
        </w:rPr>
        <w:t>In the Rel-18 Work Item Description (</w:t>
      </w:r>
      <w:r w:rsidRPr="00A75792">
        <w:rPr>
          <w:lang w:val="en-US"/>
        </w:rPr>
        <w:t>RP-240779</w:t>
      </w:r>
      <w:r>
        <w:rPr>
          <w:lang w:val="en-US"/>
        </w:rPr>
        <w:t>) the expression GSO is clearly directed to mean “</w:t>
      </w:r>
      <w:proofErr w:type="spellStart"/>
      <w:r>
        <w:rPr>
          <w:lang w:val="en-US"/>
        </w:rPr>
        <w:t>Geosyncrhonous</w:t>
      </w:r>
      <w:proofErr w:type="spellEnd"/>
      <w:proofErr w:type="gramStart"/>
      <w:r>
        <w:rPr>
          <w:lang w:val="en-US"/>
        </w:rPr>
        <w:t>”</w:t>
      </w:r>
      <w:proofErr w:type="gramEnd"/>
      <w:r>
        <w:rPr>
          <w:lang w:val="en-US"/>
        </w:rPr>
        <w:t xml:space="preserve"> and this has impacted several other RAN specifications. </w:t>
      </w:r>
      <w:r w:rsidR="00BD56AC">
        <w:rPr>
          <w:lang w:val="en-US"/>
        </w:rPr>
        <w:t>Observe from table 1 below</w:t>
      </w:r>
      <w:r w:rsidR="00F85B9D">
        <w:rPr>
          <w:lang w:val="en-US"/>
        </w:rPr>
        <w:t>:</w:t>
      </w:r>
      <w:r w:rsidR="00BD56AC">
        <w:rPr>
          <w:lang w:val="en-US"/>
        </w:rPr>
        <w:t xml:space="preserve"> </w:t>
      </w:r>
    </w:p>
    <w:p w14:paraId="5CE6CCD7" w14:textId="706D9AD5" w:rsidR="00F85B9D" w:rsidRDefault="00F85B9D" w:rsidP="00F85B9D">
      <w:pPr>
        <w:pStyle w:val="Caption"/>
        <w:keepNext/>
      </w:pPr>
      <w:r>
        <w:t xml:space="preserve">Table </w:t>
      </w:r>
      <w:r>
        <w:fldChar w:fldCharType="begin"/>
      </w:r>
      <w:r>
        <w:instrText xml:space="preserve"> SEQ Table \* ARABIC </w:instrText>
      </w:r>
      <w:r>
        <w:fldChar w:fldCharType="separate"/>
      </w:r>
      <w:r w:rsidR="00A75792">
        <w:rPr>
          <w:noProof/>
        </w:rPr>
        <w:t>1</w:t>
      </w:r>
      <w:r>
        <w:fldChar w:fldCharType="end"/>
      </w:r>
      <w:r>
        <w:t>. Definition of GSO per 3GPP specification</w:t>
      </w:r>
    </w:p>
    <w:tbl>
      <w:tblPr>
        <w:tblStyle w:val="TableGrid"/>
        <w:tblW w:w="0" w:type="auto"/>
        <w:tblLook w:val="04A0" w:firstRow="1" w:lastRow="0" w:firstColumn="1" w:lastColumn="0" w:noHBand="0" w:noVBand="1"/>
      </w:tblPr>
      <w:tblGrid>
        <w:gridCol w:w="4808"/>
        <w:gridCol w:w="4809"/>
      </w:tblGrid>
      <w:tr w:rsidR="00BD56AC" w14:paraId="53E9B0C5" w14:textId="77777777" w:rsidTr="00BD56AC">
        <w:tc>
          <w:tcPr>
            <w:tcW w:w="4808" w:type="dxa"/>
          </w:tcPr>
          <w:p w14:paraId="3773713F" w14:textId="2A7B3357" w:rsidR="00BD56AC" w:rsidRDefault="00BD56AC" w:rsidP="005C23A4">
            <w:pPr>
              <w:rPr>
                <w:lang w:val="en-US"/>
              </w:rPr>
            </w:pPr>
            <w:r>
              <w:rPr>
                <w:lang w:val="en-US"/>
              </w:rPr>
              <w:t>GSO: Geosynchronous Orbit</w:t>
            </w:r>
          </w:p>
        </w:tc>
        <w:tc>
          <w:tcPr>
            <w:tcW w:w="4809" w:type="dxa"/>
          </w:tcPr>
          <w:p w14:paraId="62CC551A" w14:textId="56410936" w:rsidR="00BD56AC" w:rsidRDefault="00BD56AC" w:rsidP="005C23A4">
            <w:pPr>
              <w:rPr>
                <w:lang w:val="en-US"/>
              </w:rPr>
            </w:pPr>
            <w:r>
              <w:rPr>
                <w:lang w:val="en-US"/>
              </w:rPr>
              <w:t>GSO: Geostationary orbit</w:t>
            </w:r>
          </w:p>
        </w:tc>
      </w:tr>
      <w:tr w:rsidR="00BD56AC" w14:paraId="5CB651A2" w14:textId="77777777" w:rsidTr="00BD56AC">
        <w:tc>
          <w:tcPr>
            <w:tcW w:w="4808" w:type="dxa"/>
          </w:tcPr>
          <w:p w14:paraId="382F396E" w14:textId="4DD62C7D" w:rsidR="00BD56AC" w:rsidRDefault="00BD56AC" w:rsidP="005C23A4">
            <w:pPr>
              <w:rPr>
                <w:lang w:val="en-US"/>
              </w:rPr>
            </w:pPr>
            <w:r>
              <w:rPr>
                <w:lang w:val="en-US"/>
              </w:rPr>
              <w:t>36</w:t>
            </w:r>
            <w:r w:rsidR="00F85B9D">
              <w:rPr>
                <w:lang w:val="en-US"/>
              </w:rPr>
              <w:t>.</w:t>
            </w:r>
            <w:r>
              <w:rPr>
                <w:lang w:val="en-US"/>
              </w:rPr>
              <w:t>331</w:t>
            </w:r>
          </w:p>
          <w:p w14:paraId="04C7502F" w14:textId="3BEB05FE" w:rsidR="00BD56AC" w:rsidRDefault="00BD56AC" w:rsidP="005C23A4">
            <w:pPr>
              <w:rPr>
                <w:b/>
                <w:bCs/>
                <w:lang w:val="en-US"/>
              </w:rPr>
            </w:pPr>
            <w:r w:rsidRPr="00BD56AC">
              <w:rPr>
                <w:b/>
                <w:bCs/>
                <w:lang w:val="en-US"/>
              </w:rPr>
              <w:t>36</w:t>
            </w:r>
            <w:r w:rsidR="00F85B9D">
              <w:rPr>
                <w:b/>
                <w:bCs/>
                <w:lang w:val="en-US"/>
              </w:rPr>
              <w:t>.</w:t>
            </w:r>
            <w:r w:rsidRPr="00BD56AC">
              <w:rPr>
                <w:b/>
                <w:bCs/>
                <w:lang w:val="en-US"/>
              </w:rPr>
              <w:t>102</w:t>
            </w:r>
          </w:p>
          <w:p w14:paraId="4C08483B" w14:textId="4251BF9C" w:rsidR="00BD56AC" w:rsidRDefault="00BD56AC" w:rsidP="005C23A4">
            <w:pPr>
              <w:rPr>
                <w:b/>
                <w:bCs/>
                <w:lang w:val="en-US"/>
              </w:rPr>
            </w:pPr>
            <w:r>
              <w:rPr>
                <w:b/>
                <w:bCs/>
                <w:lang w:val="en-US"/>
              </w:rPr>
              <w:t>36</w:t>
            </w:r>
            <w:r w:rsidR="00F85B9D">
              <w:rPr>
                <w:b/>
                <w:bCs/>
                <w:lang w:val="en-US"/>
              </w:rPr>
              <w:t>.</w:t>
            </w:r>
            <w:r>
              <w:rPr>
                <w:b/>
                <w:bCs/>
                <w:lang w:val="en-US"/>
              </w:rPr>
              <w:t>133</w:t>
            </w:r>
          </w:p>
          <w:p w14:paraId="29DAB6BA" w14:textId="4348B115" w:rsidR="00BD56AC" w:rsidRPr="00F85B9D" w:rsidRDefault="00BD56AC" w:rsidP="005C23A4">
            <w:pPr>
              <w:rPr>
                <w:lang w:val="en-US"/>
              </w:rPr>
            </w:pPr>
            <w:r w:rsidRPr="00F85B9D">
              <w:rPr>
                <w:lang w:val="en-US"/>
              </w:rPr>
              <w:t>36</w:t>
            </w:r>
            <w:r w:rsidR="00F85B9D" w:rsidRPr="00F85B9D">
              <w:rPr>
                <w:lang w:val="en-US"/>
              </w:rPr>
              <w:t>.</w:t>
            </w:r>
            <w:r w:rsidRPr="00F85B9D">
              <w:rPr>
                <w:lang w:val="en-US"/>
              </w:rPr>
              <w:t>300</w:t>
            </w:r>
            <w:r w:rsidR="00F85B9D" w:rsidRPr="00F85B9D">
              <w:rPr>
                <w:lang w:val="en-US"/>
              </w:rPr>
              <w:t>/38.300</w:t>
            </w:r>
          </w:p>
          <w:p w14:paraId="5F293683" w14:textId="3117BC35" w:rsidR="00F85B9D" w:rsidRPr="00F85B9D" w:rsidRDefault="00F85B9D" w:rsidP="005C23A4">
            <w:pPr>
              <w:rPr>
                <w:lang w:val="en-US"/>
              </w:rPr>
            </w:pPr>
            <w:r w:rsidRPr="00F85B9D">
              <w:rPr>
                <w:lang w:val="en-US"/>
              </w:rPr>
              <w:t>36.521-3</w:t>
            </w:r>
          </w:p>
          <w:p w14:paraId="58D37791" w14:textId="0D2D3590" w:rsidR="00F85B9D" w:rsidRPr="00F85B9D" w:rsidRDefault="00F85B9D" w:rsidP="005C23A4">
            <w:pPr>
              <w:rPr>
                <w:lang w:val="en-US"/>
              </w:rPr>
            </w:pPr>
            <w:r w:rsidRPr="00F85B9D">
              <w:rPr>
                <w:lang w:val="en-US"/>
              </w:rPr>
              <w:t>36.521-4</w:t>
            </w:r>
          </w:p>
          <w:p w14:paraId="540179F0" w14:textId="37D9DFD4" w:rsidR="00F85B9D" w:rsidRPr="00F85B9D" w:rsidRDefault="00F85B9D" w:rsidP="005C23A4">
            <w:pPr>
              <w:rPr>
                <w:lang w:val="en-US"/>
              </w:rPr>
            </w:pPr>
            <w:r w:rsidRPr="00F85B9D">
              <w:rPr>
                <w:lang w:val="en-US"/>
              </w:rPr>
              <w:t>38</w:t>
            </w:r>
            <w:r>
              <w:rPr>
                <w:lang w:val="en-US"/>
              </w:rPr>
              <w:t>.</w:t>
            </w:r>
            <w:r w:rsidRPr="00F85B9D">
              <w:rPr>
                <w:lang w:val="en-US"/>
              </w:rPr>
              <w:t>306</w:t>
            </w:r>
          </w:p>
          <w:p w14:paraId="4043E5BB" w14:textId="77777777" w:rsidR="00F85B9D" w:rsidRPr="00BD56AC" w:rsidRDefault="00F85B9D" w:rsidP="005C23A4">
            <w:pPr>
              <w:rPr>
                <w:b/>
                <w:bCs/>
                <w:lang w:val="en-US"/>
              </w:rPr>
            </w:pPr>
          </w:p>
          <w:p w14:paraId="472F45BD" w14:textId="39A4981E" w:rsidR="00BD56AC" w:rsidRDefault="00BD56AC" w:rsidP="005C23A4">
            <w:pPr>
              <w:rPr>
                <w:lang w:val="en-US"/>
              </w:rPr>
            </w:pPr>
          </w:p>
        </w:tc>
        <w:tc>
          <w:tcPr>
            <w:tcW w:w="4809" w:type="dxa"/>
          </w:tcPr>
          <w:p w14:paraId="7B934B22" w14:textId="3C6CAAFF" w:rsidR="00BD56AC" w:rsidRPr="00F85B9D" w:rsidRDefault="00F85B9D" w:rsidP="005C23A4">
            <w:pPr>
              <w:rPr>
                <w:b/>
                <w:bCs/>
                <w:lang w:val="en-US"/>
              </w:rPr>
            </w:pPr>
            <w:r w:rsidRPr="00F85B9D">
              <w:rPr>
                <w:b/>
                <w:bCs/>
                <w:lang w:val="en-US"/>
              </w:rPr>
              <w:t>38</w:t>
            </w:r>
            <w:r>
              <w:rPr>
                <w:b/>
                <w:bCs/>
                <w:lang w:val="en-US"/>
              </w:rPr>
              <w:t>.</w:t>
            </w:r>
            <w:r w:rsidRPr="00F85B9D">
              <w:rPr>
                <w:b/>
                <w:bCs/>
                <w:lang w:val="en-US"/>
              </w:rPr>
              <w:t>101-5</w:t>
            </w:r>
          </w:p>
        </w:tc>
      </w:tr>
    </w:tbl>
    <w:p w14:paraId="5C43EFA4" w14:textId="77777777" w:rsidR="00BD56AC" w:rsidRDefault="00BD56AC" w:rsidP="005C23A4">
      <w:pPr>
        <w:rPr>
          <w:lang w:val="en-US"/>
        </w:rPr>
      </w:pPr>
    </w:p>
    <w:p w14:paraId="5B50BEFA" w14:textId="6019769C" w:rsidR="00A75792" w:rsidRDefault="00A75792" w:rsidP="00A75792">
      <w:pPr>
        <w:pStyle w:val="Caption"/>
        <w:keepNext/>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Definition of GSO in WID for </w:t>
      </w:r>
      <w:proofErr w:type="spellStart"/>
      <w:r>
        <w:t>NTN_enh</w:t>
      </w:r>
      <w:proofErr w:type="spellEnd"/>
    </w:p>
    <w:tbl>
      <w:tblPr>
        <w:tblStyle w:val="TableGrid"/>
        <w:tblW w:w="0" w:type="auto"/>
        <w:tblLook w:val="04A0" w:firstRow="1" w:lastRow="0" w:firstColumn="1" w:lastColumn="0" w:noHBand="0" w:noVBand="1"/>
      </w:tblPr>
      <w:tblGrid>
        <w:gridCol w:w="9617"/>
      </w:tblGrid>
      <w:tr w:rsidR="00A75792" w14:paraId="72509E21" w14:textId="77777777" w:rsidTr="00A75792">
        <w:tc>
          <w:tcPr>
            <w:tcW w:w="9617" w:type="dxa"/>
          </w:tcPr>
          <w:p w14:paraId="7B64086E" w14:textId="77777777" w:rsidR="00A75792" w:rsidRDefault="00A75792" w:rsidP="00A75792">
            <w:pPr>
              <w:pStyle w:val="Heading3"/>
              <w:rPr>
                <w:rFonts w:eastAsiaTheme="minorEastAsia"/>
                <w:color w:val="0000FF"/>
              </w:rPr>
            </w:pPr>
            <w:r>
              <w:rPr>
                <w:rFonts w:eastAsiaTheme="minorEastAsia"/>
                <w:color w:val="0000FF"/>
              </w:rPr>
              <w:t>4.1</w:t>
            </w:r>
            <w:r>
              <w:rPr>
                <w:rFonts w:eastAsiaTheme="minorEastAsia"/>
                <w:color w:val="0000FF"/>
              </w:rPr>
              <w:tab/>
              <w:t>Objective of SI or Core part WI or Testing part WI</w:t>
            </w:r>
          </w:p>
          <w:p w14:paraId="47A46417" w14:textId="77777777" w:rsidR="00A75792" w:rsidRDefault="00A75792" w:rsidP="00A75792">
            <w:pPr>
              <w:rPr>
                <w:rFonts w:eastAsiaTheme="minorEastAsia"/>
                <w:bCs/>
              </w:rPr>
            </w:pPr>
          </w:p>
          <w:p w14:paraId="08A09136" w14:textId="77777777" w:rsidR="00A75792" w:rsidRDefault="00A75792" w:rsidP="00A75792">
            <w:pPr>
              <w:rPr>
                <w:bCs/>
              </w:rPr>
            </w:pPr>
            <w:r>
              <w:rPr>
                <w:bCs/>
              </w:rPr>
              <w:t xml:space="preserve">The work item aims at specifying enhancements for NG-RAN based NTN (Non-Terrestrial Networks) according to the following assumptions with implicit compatibility to support HAPS (High Altitude Platform Station) and ATG (Air </w:t>
            </w:r>
            <w:proofErr w:type="gramStart"/>
            <w:r>
              <w:rPr>
                <w:bCs/>
              </w:rPr>
              <w:t>To</w:t>
            </w:r>
            <w:proofErr w:type="gramEnd"/>
            <w:r>
              <w:rPr>
                <w:bCs/>
              </w:rPr>
              <w:t xml:space="preserve"> Ground) scenarios:</w:t>
            </w:r>
          </w:p>
          <w:p w14:paraId="12EF89B4" w14:textId="77777777" w:rsidR="00A75792" w:rsidRDefault="00A75792" w:rsidP="00A75792">
            <w:pPr>
              <w:rPr>
                <w:bCs/>
              </w:rPr>
            </w:pPr>
          </w:p>
          <w:p w14:paraId="0A828401" w14:textId="77777777" w:rsidR="00A75792" w:rsidRDefault="00A75792" w:rsidP="00A75792">
            <w:pPr>
              <w:numPr>
                <w:ilvl w:val="0"/>
                <w:numId w:val="27"/>
              </w:numPr>
              <w:spacing w:line="276" w:lineRule="auto"/>
              <w:rPr>
                <w:bCs/>
              </w:rPr>
            </w:pPr>
            <w:r w:rsidRPr="00A75792">
              <w:rPr>
                <w:bCs/>
                <w:highlight w:val="yellow"/>
              </w:rPr>
              <w:t>GSO (Geo Synchronous Orbit) and NGSO (Non Geo Synchronous Orbit).</w:t>
            </w:r>
            <w:r>
              <w:rPr>
                <w:bCs/>
              </w:rPr>
              <w:t xml:space="preserve"> NGSO includes Low Earth Orbit (LEO) and Medium Earth Orbit (MEO).</w:t>
            </w:r>
          </w:p>
          <w:p w14:paraId="4C0EC406" w14:textId="77777777" w:rsidR="00A75792" w:rsidRDefault="00A75792" w:rsidP="00A75792">
            <w:pPr>
              <w:numPr>
                <w:ilvl w:val="0"/>
                <w:numId w:val="27"/>
              </w:numPr>
              <w:spacing w:line="276" w:lineRule="auto"/>
              <w:rPr>
                <w:bCs/>
              </w:rPr>
            </w:pPr>
            <w:r>
              <w:rPr>
                <w:bCs/>
              </w:rPr>
              <w:t>Earth fixed tracking area. Earth fixed &amp; Earth moving cells for NGSO</w:t>
            </w:r>
          </w:p>
          <w:p w14:paraId="6D82F3B7" w14:textId="77777777" w:rsidR="00A75792" w:rsidRDefault="00A75792" w:rsidP="00A75792">
            <w:pPr>
              <w:numPr>
                <w:ilvl w:val="0"/>
                <w:numId w:val="27"/>
              </w:numPr>
              <w:spacing w:line="276" w:lineRule="auto"/>
              <w:rPr>
                <w:bCs/>
              </w:rPr>
            </w:pPr>
            <w:r>
              <w:rPr>
                <w:bCs/>
              </w:rPr>
              <w:t>FDD mode</w:t>
            </w:r>
          </w:p>
          <w:p w14:paraId="53CCB601" w14:textId="77777777" w:rsidR="00A75792" w:rsidRDefault="00A75792" w:rsidP="00A75792">
            <w:pPr>
              <w:numPr>
                <w:ilvl w:val="0"/>
                <w:numId w:val="27"/>
              </w:numPr>
              <w:spacing w:line="276" w:lineRule="auto"/>
              <w:rPr>
                <w:bCs/>
              </w:rPr>
            </w:pPr>
            <w:r>
              <w:rPr>
                <w:bCs/>
              </w:rPr>
              <w:t>UEs with GNSS (Global Navigation Satellite Systems) capabilities</w:t>
            </w:r>
          </w:p>
          <w:p w14:paraId="6F6F2E62" w14:textId="77777777" w:rsidR="00A75792" w:rsidRDefault="00A75792" w:rsidP="00A75792">
            <w:pPr>
              <w:numPr>
                <w:ilvl w:val="0"/>
                <w:numId w:val="27"/>
              </w:numPr>
              <w:spacing w:line="276" w:lineRule="auto"/>
              <w:rPr>
                <w:bCs/>
              </w:rPr>
            </w:pPr>
            <w:r>
              <w:rPr>
                <w:bCs/>
              </w:rPr>
              <w:t>Both “VSAT” (Very Small Aperture Terminal) devices with directive antenna (including fixed and moving platform mounted devices) and commercial handset terminals (e.g. Power class 3) are supported in FR1</w:t>
            </w:r>
          </w:p>
          <w:p w14:paraId="175366A2" w14:textId="77777777" w:rsidR="00A75792" w:rsidRDefault="00A75792" w:rsidP="00A75792">
            <w:pPr>
              <w:numPr>
                <w:ilvl w:val="0"/>
                <w:numId w:val="27"/>
              </w:numPr>
              <w:spacing w:line="276" w:lineRule="auto"/>
              <w:rPr>
                <w:bCs/>
              </w:rPr>
            </w:pPr>
            <w:r>
              <w:rPr>
                <w:bCs/>
              </w:rPr>
              <w:t>Only “VSAT” devices with directive antenna (including fixed and moving platform mounted devices) are supported in above 10 GHz bands.</w:t>
            </w:r>
          </w:p>
          <w:p w14:paraId="7595003B" w14:textId="77777777" w:rsidR="00A75792" w:rsidRDefault="00A75792" w:rsidP="00A75792">
            <w:pPr>
              <w:rPr>
                <w:bCs/>
              </w:rPr>
            </w:pPr>
          </w:p>
          <w:p w14:paraId="7036DE27" w14:textId="77777777" w:rsidR="00A75792" w:rsidRDefault="00A75792" w:rsidP="00A75792">
            <w:pPr>
              <w:rPr>
                <w:bCs/>
              </w:rPr>
            </w:pPr>
            <w:r>
              <w:rPr>
                <w:bCs/>
              </w:rPr>
              <w:t xml:space="preserve">Note 1: In Rel-17 WID, “VSAT” device with external antenna on moving platform is equivalent to a device that operate on platforms in motion, and this is referred to as ESIM (Earth Station </w:t>
            </w:r>
            <w:proofErr w:type="gramStart"/>
            <w:r>
              <w:rPr>
                <w:bCs/>
              </w:rPr>
              <w:t>In</w:t>
            </w:r>
            <w:proofErr w:type="gramEnd"/>
            <w:r>
              <w:rPr>
                <w:bCs/>
              </w:rPr>
              <w:t xml:space="preserve"> Motion).</w:t>
            </w:r>
          </w:p>
          <w:p w14:paraId="03F56ECA" w14:textId="77777777" w:rsidR="00A75792" w:rsidRDefault="00A75792" w:rsidP="00A75792">
            <w:pPr>
              <w:rPr>
                <w:bCs/>
              </w:rPr>
            </w:pPr>
          </w:p>
          <w:p w14:paraId="79A7EF28" w14:textId="77777777" w:rsidR="00A75792" w:rsidRDefault="00A75792" w:rsidP="00A75792">
            <w:pPr>
              <w:rPr>
                <w:bCs/>
              </w:rPr>
            </w:pPr>
            <w:r>
              <w:rPr>
                <w:bCs/>
              </w:rPr>
              <w:t>Note 2: The Rel-17 NTN architecture is assumed.</w:t>
            </w:r>
          </w:p>
          <w:p w14:paraId="3A8EBF14" w14:textId="77777777" w:rsidR="00A75792" w:rsidRDefault="00A75792" w:rsidP="00A75792">
            <w:pPr>
              <w:rPr>
                <w:bCs/>
              </w:rPr>
            </w:pPr>
          </w:p>
          <w:p w14:paraId="11452B53" w14:textId="77777777" w:rsidR="00A75792" w:rsidRDefault="00A75792" w:rsidP="00A75792">
            <w:pPr>
              <w:rPr>
                <w:bCs/>
              </w:rPr>
            </w:pPr>
            <w:r>
              <w:rPr>
                <w:bCs/>
              </w:rPr>
              <w:t>This WI is adding functionality in REL-18 to enhance features that were introduced in REL-15/16/17:</w:t>
            </w:r>
          </w:p>
          <w:p w14:paraId="7E7BE6C2" w14:textId="77777777" w:rsidR="00A75792" w:rsidRDefault="00A75792" w:rsidP="005C23A4">
            <w:pPr>
              <w:rPr>
                <w:lang w:val="en-US"/>
              </w:rPr>
            </w:pPr>
          </w:p>
        </w:tc>
      </w:tr>
    </w:tbl>
    <w:p w14:paraId="4D5EAB19" w14:textId="77777777" w:rsidR="00A75792" w:rsidRDefault="00A75792" w:rsidP="005C23A4">
      <w:pPr>
        <w:rPr>
          <w:lang w:val="en-US"/>
        </w:rPr>
      </w:pPr>
    </w:p>
    <w:p w14:paraId="28526E40" w14:textId="4BE86F8A" w:rsidR="00F85B9D" w:rsidRDefault="00F85B9D" w:rsidP="00F85B9D">
      <w:r>
        <w:t xml:space="preserve">Maintaining the current definition will cause some attrition between the capabilities defined by 38.306, which is supposed to indicate the UE supports Geosynchronous satellite and a specification that only covers for Geostationary satellites. </w:t>
      </w:r>
    </w:p>
    <w:p w14:paraId="7654E32F" w14:textId="74CC1336" w:rsidR="00A75792" w:rsidRDefault="00F85B9D" w:rsidP="00F85B9D">
      <w:r>
        <w:t xml:space="preserve">Besides, the current definition is not harmonious with the same specification, as in the same meeting, RAN4 #109, Annex A.4.2 has been updated to indicate that doppler values for GSO satellite might reach values up to 0.93 ppm, which unequivocally indicate the  spirit of the specification was addressing geosynchronous satellites. </w:t>
      </w:r>
    </w:p>
    <w:p w14:paraId="458991BD" w14:textId="52FD1F84" w:rsidR="00A75792" w:rsidRDefault="00A75792" w:rsidP="00F85B9D">
      <w:proofErr w:type="gramStart"/>
      <w:r>
        <w:t>Therefore</w:t>
      </w:r>
      <w:proofErr w:type="gramEnd"/>
      <w:r>
        <w:t xml:space="preserve"> we make the following set of observations:</w:t>
      </w:r>
    </w:p>
    <w:p w14:paraId="38505584" w14:textId="03F06AAA" w:rsidR="00A75792" w:rsidRDefault="00A75792" w:rsidP="00F85B9D">
      <w:pPr>
        <w:pStyle w:val="RAN4observation0"/>
      </w:pPr>
      <w:bookmarkStart w:id="5" w:name="_Toc181988037"/>
      <w:r w:rsidRPr="00A75792">
        <w:t>GSO is defined as geosynchronous satellite in other specifications, including other RAN4 specifications and the specification of UE capabilities (TS 38.306).</w:t>
      </w:r>
      <w:bookmarkEnd w:id="5"/>
    </w:p>
    <w:p w14:paraId="4BADA4BD" w14:textId="77777777" w:rsidR="000F7B83" w:rsidRPr="000F7B83" w:rsidRDefault="000F7B83" w:rsidP="000F7B83"/>
    <w:p w14:paraId="01FDC84A" w14:textId="1780F22F" w:rsidR="00A75792" w:rsidRDefault="00A75792" w:rsidP="00A75792">
      <w:pPr>
        <w:pStyle w:val="RAN4observation0"/>
      </w:pPr>
      <w:bookmarkStart w:id="6" w:name="_Toc181988038"/>
      <w:r>
        <w:t xml:space="preserve">The “Geostationary” definition is inconsistent with the doppler values used inside TS </w:t>
      </w:r>
      <w:r w:rsidR="00F85B9D">
        <w:t xml:space="preserve">38.101-5, </w:t>
      </w:r>
      <w:r w:rsidR="000F7B83">
        <w:t xml:space="preserve">for the test cases, in </w:t>
      </w:r>
      <w:r w:rsidR="00F85B9D">
        <w:t>Annex 4</w:t>
      </w:r>
      <w:bookmarkEnd w:id="6"/>
      <w:r w:rsidR="00F85B9D">
        <w:t xml:space="preserve"> </w:t>
      </w:r>
    </w:p>
    <w:p w14:paraId="18A5AA24" w14:textId="77777777" w:rsidR="000F7B83" w:rsidRPr="000F7B83" w:rsidRDefault="000F7B83" w:rsidP="000F7B83"/>
    <w:p w14:paraId="2D8DA361" w14:textId="5E6602D3" w:rsidR="00A75792" w:rsidRDefault="000F7B83" w:rsidP="00A75792">
      <w:pPr>
        <w:pStyle w:val="RAN4observation0"/>
      </w:pPr>
      <w:bookmarkStart w:id="7" w:name="_Toc181988039"/>
      <w:r>
        <w:t>The NTN work item</w:t>
      </w:r>
      <w:r w:rsidR="008C2F5C">
        <w:t xml:space="preserve"> uses GSO as Geosynchronous.</w:t>
      </w:r>
      <w:bookmarkEnd w:id="7"/>
    </w:p>
    <w:p w14:paraId="6BDBCE4C" w14:textId="77777777" w:rsidR="008C2F5C" w:rsidRPr="008C2F5C" w:rsidRDefault="008C2F5C" w:rsidP="008C2F5C"/>
    <w:p w14:paraId="457BB644" w14:textId="77777777" w:rsidR="00AF5843" w:rsidRDefault="008C2F5C" w:rsidP="00AF5843">
      <w:pPr>
        <w:pStyle w:val="RAN4observation0"/>
      </w:pPr>
      <w:bookmarkStart w:id="8" w:name="_Toc181988040"/>
      <w:r>
        <w:t xml:space="preserve">It is more likely that NTN deployments in the market are deployed in </w:t>
      </w:r>
      <w:proofErr w:type="spellStart"/>
      <w:r>
        <w:t>Geosyncrhonous</w:t>
      </w:r>
      <w:proofErr w:type="spellEnd"/>
      <w:r>
        <w:t xml:space="preserve"> orbits than in </w:t>
      </w:r>
      <w:proofErr w:type="spellStart"/>
      <w:r>
        <w:t>Geoestationary</w:t>
      </w:r>
      <w:proofErr w:type="spellEnd"/>
      <w:r>
        <w:t xml:space="preserve"> orbits.</w:t>
      </w:r>
      <w:bookmarkEnd w:id="8"/>
    </w:p>
    <w:p w14:paraId="58B6A65B" w14:textId="77777777" w:rsidR="00AF5843" w:rsidRDefault="00AF5843" w:rsidP="00AF5843">
      <w:pPr>
        <w:pStyle w:val="RAN4observation0"/>
        <w:numPr>
          <w:ilvl w:val="0"/>
          <w:numId w:val="0"/>
        </w:numPr>
      </w:pPr>
    </w:p>
    <w:p w14:paraId="3D9F7A8B" w14:textId="77777777" w:rsidR="00AF5843" w:rsidRDefault="00AF5843" w:rsidP="00AF5843">
      <w:pPr>
        <w:pStyle w:val="RAN4observation0"/>
        <w:numPr>
          <w:ilvl w:val="0"/>
          <w:numId w:val="0"/>
        </w:numPr>
      </w:pPr>
    </w:p>
    <w:p w14:paraId="04F5277C" w14:textId="00E26C6C" w:rsidR="008C2F5C" w:rsidRDefault="00AF5843" w:rsidP="00AF5843">
      <w:pPr>
        <w:pStyle w:val="RAN4observation0"/>
        <w:numPr>
          <w:ilvl w:val="0"/>
          <w:numId w:val="0"/>
        </w:numPr>
      </w:pPr>
      <w:bookmarkStart w:id="9" w:name="_Toc181988041"/>
      <w:r>
        <w:t xml:space="preserve">However, some companies have raised the issue that currently there is a lack of harmony between RAN4 specification and the provided definition in ITU, where GSO is sometimes defined as “Geostationary Orbit” </w:t>
      </w:r>
      <w:r w:rsidR="00C6644A">
        <w:t>. This concern arose from the fact that in the ITU definitions page the following is found</w:t>
      </w:r>
      <w:r w:rsidR="003E7F85">
        <w:t xml:space="preserve"> </w:t>
      </w:r>
      <w:r w:rsidR="003E7F85">
        <w:fldChar w:fldCharType="begin"/>
      </w:r>
      <w:r w:rsidR="003E7F85">
        <w:instrText xml:space="preserve"> REF _Ref181721052 \r \h </w:instrText>
      </w:r>
      <w:r w:rsidR="003E7F85">
        <w:fldChar w:fldCharType="separate"/>
      </w:r>
      <w:r w:rsidR="003E7F85">
        <w:t>[7]</w:t>
      </w:r>
      <w:r w:rsidR="003E7F85">
        <w:fldChar w:fldCharType="end"/>
      </w:r>
      <w:r w:rsidR="00C6644A">
        <w:t>:</w:t>
      </w:r>
      <w:bookmarkEnd w:id="9"/>
    </w:p>
    <w:tbl>
      <w:tblPr>
        <w:tblStyle w:val="TableGrid"/>
        <w:tblW w:w="0" w:type="auto"/>
        <w:tblLook w:val="04A0" w:firstRow="1" w:lastRow="0" w:firstColumn="1" w:lastColumn="0" w:noHBand="0" w:noVBand="1"/>
      </w:tblPr>
      <w:tblGrid>
        <w:gridCol w:w="9617"/>
      </w:tblGrid>
      <w:tr w:rsidR="00C6644A" w14:paraId="67FC1E58" w14:textId="77777777" w:rsidTr="00C6644A">
        <w:tc>
          <w:tcPr>
            <w:tcW w:w="9617" w:type="dxa"/>
          </w:tcPr>
          <w:p w14:paraId="6C99A54C" w14:textId="77777777" w:rsidR="00C6644A" w:rsidRDefault="00C6644A" w:rsidP="00C6644A">
            <w:r w:rsidRPr="005358A6">
              <w:rPr>
                <w:b/>
                <w:bCs/>
              </w:rPr>
              <w:t>1.188</w:t>
            </w:r>
            <w:r w:rsidRPr="00C6644A">
              <w:t xml:space="preserve"> geosynchronous satellite: An earth satellite whose period of revolution is equal to the period of rotation of the Earth about its axis. </w:t>
            </w:r>
          </w:p>
          <w:p w14:paraId="3F1097E6" w14:textId="37AC6B35" w:rsidR="00C6644A" w:rsidRDefault="00C6644A" w:rsidP="00C6644A">
            <w:r w:rsidRPr="005358A6">
              <w:rPr>
                <w:b/>
                <w:bCs/>
              </w:rPr>
              <w:lastRenderedPageBreak/>
              <w:t>1.189</w:t>
            </w:r>
            <w:r w:rsidRPr="00C6644A">
              <w:t xml:space="preserve"> geostationary satellite: A geosynchronous satellite whose circular and direct orbit lies in the plane of the Earth’s </w:t>
            </w:r>
            <w:proofErr w:type="gramStart"/>
            <w:r w:rsidRPr="00C6644A">
              <w:t>equator</w:t>
            </w:r>
            <w:proofErr w:type="gramEnd"/>
            <w:r w:rsidRPr="00C6644A">
              <w:t xml:space="preserve"> and which thus remains fixed relative to the Earth; by extension, a geosynchronous satellite which remains approximately fixed relative to the Earth. (WRC-03)</w:t>
            </w:r>
          </w:p>
          <w:p w14:paraId="6E07AE08" w14:textId="77777777" w:rsidR="00C6644A" w:rsidRDefault="00C6644A" w:rsidP="00C6644A"/>
          <w:p w14:paraId="0FE8907F" w14:textId="7AA02DBD" w:rsidR="00C6644A" w:rsidRDefault="00C6644A" w:rsidP="00C6644A">
            <w:r w:rsidRPr="005358A6">
              <w:rPr>
                <w:b/>
                <w:bCs/>
              </w:rPr>
              <w:t xml:space="preserve"> 1.190</w:t>
            </w:r>
            <w:r w:rsidRPr="00C6644A">
              <w:t xml:space="preserve"> geostationary-satellite orbit: The orbit of a geosynchronous satellite whose circular and direct orbit lies in the plane of the Earth's equator</w:t>
            </w:r>
          </w:p>
        </w:tc>
      </w:tr>
    </w:tbl>
    <w:p w14:paraId="4D5A9B4F" w14:textId="2DBF7478" w:rsidR="00C6644A" w:rsidRDefault="00C6644A" w:rsidP="00C6644A"/>
    <w:p w14:paraId="44BB38C7" w14:textId="3518414C" w:rsidR="00C6644A" w:rsidRDefault="00C6644A" w:rsidP="00C6644A">
      <w:r>
        <w:t>And with this definition, the ITU later defines that GSO represents “Geostationary-satellite orbit”. However, more in-depth explanation is provided on ITU Articles 9 (Procedure for effecting coordination with or obtaining agreement of other administrations)</w:t>
      </w:r>
      <w:r w:rsidR="003E7F85">
        <w:t xml:space="preserve"> </w:t>
      </w:r>
      <w:r w:rsidR="003E7F85">
        <w:fldChar w:fldCharType="begin"/>
      </w:r>
      <w:r w:rsidR="003E7F85">
        <w:instrText xml:space="preserve"> REF _Ref181721058 \r \h </w:instrText>
      </w:r>
      <w:r w:rsidR="003E7F85">
        <w:fldChar w:fldCharType="separate"/>
      </w:r>
      <w:r w:rsidR="003E7F85">
        <w:t>[8]</w:t>
      </w:r>
      <w:r w:rsidR="003E7F85">
        <w:fldChar w:fldCharType="end"/>
      </w:r>
      <w:r>
        <w:t xml:space="preserve"> and Article 11</w:t>
      </w:r>
      <w:r w:rsidR="005358A6">
        <w:t xml:space="preserve"> (Notification and recording of frequency assignments)</w:t>
      </w:r>
      <w:r w:rsidR="003E7F85">
        <w:fldChar w:fldCharType="begin"/>
      </w:r>
      <w:r w:rsidR="003E7F85">
        <w:instrText xml:space="preserve"> REF _Ref181721058 \r \h </w:instrText>
      </w:r>
      <w:r w:rsidR="003E7F85">
        <w:fldChar w:fldCharType="separate"/>
      </w:r>
      <w:r w:rsidR="003E7F85">
        <w:t>[8]</w:t>
      </w:r>
      <w:r w:rsidR="003E7F85">
        <w:fldChar w:fldCharType="end"/>
      </w:r>
      <w:r>
        <w:t>:</w:t>
      </w:r>
    </w:p>
    <w:tbl>
      <w:tblPr>
        <w:tblStyle w:val="TableGrid"/>
        <w:tblW w:w="0" w:type="auto"/>
        <w:tblLook w:val="04A0" w:firstRow="1" w:lastRow="0" w:firstColumn="1" w:lastColumn="0" w:noHBand="0" w:noVBand="1"/>
      </w:tblPr>
      <w:tblGrid>
        <w:gridCol w:w="9617"/>
      </w:tblGrid>
      <w:tr w:rsidR="005358A6" w14:paraId="0909F655" w14:textId="77777777" w:rsidTr="005358A6">
        <w:tc>
          <w:tcPr>
            <w:tcW w:w="9617" w:type="dxa"/>
          </w:tcPr>
          <w:p w14:paraId="348D65C2" w14:textId="3468F625" w:rsidR="005358A6" w:rsidRDefault="005358A6" w:rsidP="00C6644A">
            <w:r w:rsidRPr="005358A6">
              <w:rPr>
                <w:b/>
                <w:bCs/>
              </w:rPr>
              <w:t>A.9.6A</w:t>
            </w:r>
            <w:r w:rsidRPr="005358A6">
              <w:t xml:space="preserve"> For the purpose of this Article, a geostationary satellite is a geosynchronous satellite with an orbit the inclination of which is less than or equal to 15°. (WRC-03)</w:t>
            </w:r>
          </w:p>
          <w:p w14:paraId="4202600D" w14:textId="77777777" w:rsidR="005358A6" w:rsidRDefault="005358A6" w:rsidP="00C6644A"/>
          <w:p w14:paraId="54713A0A" w14:textId="77777777" w:rsidR="005358A6" w:rsidRDefault="005358A6" w:rsidP="00C6644A"/>
          <w:p w14:paraId="3B15D4B3" w14:textId="2766F69A" w:rsidR="005358A6" w:rsidRDefault="005358A6" w:rsidP="00C6644A">
            <w:r w:rsidRPr="005358A6">
              <w:rPr>
                <w:b/>
                <w:bCs/>
              </w:rPr>
              <w:t>A.11.4A</w:t>
            </w:r>
            <w:r w:rsidRPr="005358A6">
              <w:t xml:space="preserve"> For the purpose of this Article, a geostationary satellite is a geosynchronous satellite with an orbit the inclination of which is less than or equal to 15°. (WRC-03)</w:t>
            </w:r>
          </w:p>
          <w:p w14:paraId="72FA57DF" w14:textId="08205164" w:rsidR="005358A6" w:rsidRDefault="005358A6" w:rsidP="00C6644A"/>
        </w:tc>
      </w:tr>
    </w:tbl>
    <w:p w14:paraId="19E809B5" w14:textId="77777777" w:rsidR="00C6644A" w:rsidRDefault="00C6644A" w:rsidP="00C6644A"/>
    <w:p w14:paraId="4862A0A2" w14:textId="5EB87F23" w:rsidR="005358A6" w:rsidRDefault="005358A6" w:rsidP="00C6644A">
      <w:r>
        <w:t xml:space="preserve">This clarification provided by ITU reaffirms that GSO is used with the intend to cover for satellites that are geosynchronous (with an upper limitation of a satellite orbit inclination of 15 degrees). For the most part such satellite orbital inclination is sufficient to cover for the applicability of GSO as intended by the body of companies that provided effort to specify NTN features in Rel-17 and Rel-18. </w:t>
      </w:r>
    </w:p>
    <w:p w14:paraId="1391ED40" w14:textId="77777777" w:rsidR="005358A6" w:rsidRDefault="005358A6" w:rsidP="005358A6">
      <w:pPr>
        <w:pStyle w:val="RAN4observation0"/>
      </w:pPr>
      <w:bookmarkStart w:id="10" w:name="_Toc181988042"/>
      <w:r>
        <w:t xml:space="preserve">ITU provides a clarification that for their normative work, a geostationary satellite </w:t>
      </w:r>
      <w:r w:rsidRPr="005358A6">
        <w:t>is a geosynchronous satellite with an orbit the inclination of which is less than or equal to 15°. (WRC-03)</w:t>
      </w:r>
      <w:bookmarkEnd w:id="10"/>
    </w:p>
    <w:p w14:paraId="3DA2BC7E" w14:textId="77777777" w:rsidR="005358A6" w:rsidRDefault="005358A6" w:rsidP="005358A6"/>
    <w:p w14:paraId="75D4482D" w14:textId="0A80435B" w:rsidR="005358A6" w:rsidRDefault="005358A6" w:rsidP="005358A6">
      <w:r>
        <w:t>As a compromise for companies concerned with ITU alignment we propose the following:</w:t>
      </w:r>
    </w:p>
    <w:p w14:paraId="4ACD24FE" w14:textId="3D8DC5A0" w:rsidR="005358A6" w:rsidRPr="005358A6" w:rsidRDefault="005358A6" w:rsidP="005358A6">
      <w:pPr>
        <w:pStyle w:val="RAN4proposal"/>
      </w:pPr>
      <w:bookmarkStart w:id="11" w:name="_Toc181988043"/>
      <w:r>
        <w:t xml:space="preserve">Define in TS 38.101-5 that GSO represents a geostationary satellite with an orbit the inclination of which is less than or equal to </w:t>
      </w:r>
      <w:r w:rsidRPr="005358A6">
        <w:t>15°.</w:t>
      </w:r>
      <w:bookmarkEnd w:id="11"/>
    </w:p>
    <w:p w14:paraId="50F1E95A" w14:textId="7CAEB832" w:rsidR="00CD7492" w:rsidRPr="003E7F85" w:rsidRDefault="00CD7492" w:rsidP="003E7F85">
      <w:pPr>
        <w:pStyle w:val="RAN4H1"/>
        <w:rPr>
          <w:lang w:val="en-US"/>
        </w:rPr>
      </w:pPr>
      <w:bookmarkStart w:id="12" w:name="_Toc116995848"/>
      <w:r w:rsidRPr="003E7F85">
        <w:rPr>
          <w:lang w:val="en-US"/>
        </w:rPr>
        <w:t>Conclusion</w:t>
      </w:r>
      <w:bookmarkEnd w:id="12"/>
    </w:p>
    <w:p w14:paraId="6B920413" w14:textId="3B737E82" w:rsidR="00381F95" w:rsidRPr="00614DD8" w:rsidRDefault="00616501" w:rsidP="00616501">
      <w:pPr>
        <w:rPr>
          <w:lang w:val="en-US"/>
        </w:rPr>
      </w:pPr>
      <w:r>
        <w:rPr>
          <w:lang w:val="en-US"/>
        </w:rPr>
        <w:t>This paper discussed the alignment of the terminology for satellite orbits in RAN4 specification TS 38.1</w:t>
      </w:r>
      <w:r w:rsidR="00F85B9D">
        <w:rPr>
          <w:lang w:val="en-US"/>
        </w:rPr>
        <w:t>01-5</w:t>
      </w:r>
      <w:r>
        <w:rPr>
          <w:lang w:val="en-US"/>
        </w:rPr>
        <w:t xml:space="preserve">. The discussion </w:t>
      </w:r>
      <w:proofErr w:type="gramStart"/>
      <w:r>
        <w:rPr>
          <w:lang w:val="en-US"/>
        </w:rPr>
        <w:t>encompass</w:t>
      </w:r>
      <w:proofErr w:type="gramEnd"/>
      <w:r>
        <w:rPr>
          <w:lang w:val="en-US"/>
        </w:rPr>
        <w:t xml:space="preserve"> GSO and NGSO definitions, and the following observations and proposals were made:</w:t>
      </w:r>
    </w:p>
    <w:bookmarkStart w:id="13" w:name="_Toc116995849"/>
    <w:p w14:paraId="6A797A60" w14:textId="2F388C2D" w:rsidR="00074897" w:rsidRDefault="005358A6">
      <w:pPr>
        <w:pStyle w:val="TOC1"/>
        <w:rPr>
          <w:rFonts w:asciiTheme="minorHAnsi" w:eastAsiaTheme="minorEastAsia" w:hAnsiTheme="minorHAnsi"/>
          <w:b w:val="0"/>
          <w:iCs w:val="0"/>
          <w:kern w:val="2"/>
          <w:sz w:val="24"/>
          <w:szCs w:val="24"/>
          <w:lang w:eastAsia="zh-CN"/>
          <w14:ligatures w14:val="standardContextual"/>
        </w:rPr>
      </w:pPr>
      <w:r>
        <w:rPr>
          <w:b w:val="0"/>
          <w:i/>
          <w:u w:val="single"/>
          <w:lang w:val="en-US"/>
        </w:rPr>
        <w:fldChar w:fldCharType="begin"/>
      </w:r>
      <w:r>
        <w:rPr>
          <w:b w:val="0"/>
          <w:i/>
          <w:u w:val="single"/>
          <w:lang w:val="en-US"/>
        </w:rPr>
        <w:instrText xml:space="preserve"> TOC \n \h \z \t "RAN4 proposal,1,RAN4 observation,1" </w:instrText>
      </w:r>
      <w:r>
        <w:rPr>
          <w:b w:val="0"/>
          <w:i/>
          <w:u w:val="single"/>
          <w:lang w:val="en-US"/>
        </w:rPr>
        <w:fldChar w:fldCharType="separate"/>
      </w:r>
      <w:hyperlink w:anchor="_Toc181988037" w:history="1">
        <w:r w:rsidR="00074897" w:rsidRPr="00F8081E">
          <w:rPr>
            <w:rStyle w:val="Hyperlink"/>
          </w:rPr>
          <w:t>Observation 1: GSO is defined as geosynchronous satellite in other specifications, including other RAN4 specifications and the specification of UE capabilities (TS 38.306).</w:t>
        </w:r>
      </w:hyperlink>
    </w:p>
    <w:p w14:paraId="5158A784" w14:textId="1BBE7E13" w:rsidR="00074897" w:rsidRDefault="00000000">
      <w:pPr>
        <w:pStyle w:val="TOC1"/>
        <w:rPr>
          <w:rFonts w:asciiTheme="minorHAnsi" w:eastAsiaTheme="minorEastAsia" w:hAnsiTheme="minorHAnsi"/>
          <w:b w:val="0"/>
          <w:iCs w:val="0"/>
          <w:kern w:val="2"/>
          <w:sz w:val="24"/>
          <w:szCs w:val="24"/>
          <w:lang w:eastAsia="zh-CN"/>
          <w14:ligatures w14:val="standardContextual"/>
        </w:rPr>
      </w:pPr>
      <w:hyperlink w:anchor="_Toc181988038" w:history="1">
        <w:r w:rsidR="00074897" w:rsidRPr="00F8081E">
          <w:rPr>
            <w:rStyle w:val="Hyperlink"/>
          </w:rPr>
          <w:t>Observation 2: The “Geostationary” definition is inconsistent with the doppler values used inside TS 38.101-5, for the test cases, in Annex 4</w:t>
        </w:r>
      </w:hyperlink>
    </w:p>
    <w:p w14:paraId="511F4958" w14:textId="2FD1DA5D" w:rsidR="00074897" w:rsidRDefault="00000000">
      <w:pPr>
        <w:pStyle w:val="TOC1"/>
        <w:rPr>
          <w:rFonts w:asciiTheme="minorHAnsi" w:eastAsiaTheme="minorEastAsia" w:hAnsiTheme="minorHAnsi"/>
          <w:b w:val="0"/>
          <w:iCs w:val="0"/>
          <w:kern w:val="2"/>
          <w:sz w:val="24"/>
          <w:szCs w:val="24"/>
          <w:lang w:eastAsia="zh-CN"/>
          <w14:ligatures w14:val="standardContextual"/>
        </w:rPr>
      </w:pPr>
      <w:hyperlink w:anchor="_Toc181988039" w:history="1">
        <w:r w:rsidR="00074897" w:rsidRPr="00F8081E">
          <w:rPr>
            <w:rStyle w:val="Hyperlink"/>
          </w:rPr>
          <w:t>Observation 3: The NTN work item uses GSO as Geosynchronous.</w:t>
        </w:r>
      </w:hyperlink>
    </w:p>
    <w:p w14:paraId="384D9F5E" w14:textId="0B669214" w:rsidR="00074897" w:rsidRDefault="00000000">
      <w:pPr>
        <w:pStyle w:val="TOC1"/>
        <w:rPr>
          <w:rFonts w:asciiTheme="minorHAnsi" w:eastAsiaTheme="minorEastAsia" w:hAnsiTheme="minorHAnsi"/>
          <w:b w:val="0"/>
          <w:iCs w:val="0"/>
          <w:kern w:val="2"/>
          <w:sz w:val="24"/>
          <w:szCs w:val="24"/>
          <w:lang w:eastAsia="zh-CN"/>
          <w14:ligatures w14:val="standardContextual"/>
        </w:rPr>
      </w:pPr>
      <w:hyperlink w:anchor="_Toc181988040" w:history="1">
        <w:r w:rsidR="00074897" w:rsidRPr="00F8081E">
          <w:rPr>
            <w:rStyle w:val="Hyperlink"/>
          </w:rPr>
          <w:t>Observation 4: It is more likely that NTN deployments in the market are deployed in Geosyncrhonous orbits than in Geoestationary orbits.</w:t>
        </w:r>
      </w:hyperlink>
    </w:p>
    <w:p w14:paraId="14E7B04B" w14:textId="6178C13A" w:rsidR="00074897" w:rsidRDefault="00000000">
      <w:pPr>
        <w:pStyle w:val="TOC1"/>
        <w:rPr>
          <w:rFonts w:asciiTheme="minorHAnsi" w:eastAsiaTheme="minorEastAsia" w:hAnsiTheme="minorHAnsi"/>
          <w:b w:val="0"/>
          <w:iCs w:val="0"/>
          <w:kern w:val="2"/>
          <w:sz w:val="24"/>
          <w:szCs w:val="24"/>
          <w:lang w:eastAsia="zh-CN"/>
          <w14:ligatures w14:val="standardContextual"/>
        </w:rPr>
      </w:pPr>
      <w:hyperlink w:anchor="_Toc181988041" w:history="1">
        <w:r w:rsidR="00074897" w:rsidRPr="00F8081E">
          <w:rPr>
            <w:rStyle w:val="Hyperlink"/>
          </w:rPr>
          <w:t>However, some companies have raised the issue that currently there is a lack of harmony between RAN4 specification and the provided definition in ITU, where GSO is sometimes defined as “Geostationary Orbit” . This concern arose from the fact that in the ITU definitions page the following is found [7]:</w:t>
        </w:r>
      </w:hyperlink>
    </w:p>
    <w:p w14:paraId="1762EA3E" w14:textId="52B15CF8" w:rsidR="00074897" w:rsidRDefault="00000000">
      <w:pPr>
        <w:pStyle w:val="TOC1"/>
        <w:rPr>
          <w:rFonts w:asciiTheme="minorHAnsi" w:eastAsiaTheme="minorEastAsia" w:hAnsiTheme="minorHAnsi"/>
          <w:b w:val="0"/>
          <w:iCs w:val="0"/>
          <w:kern w:val="2"/>
          <w:sz w:val="24"/>
          <w:szCs w:val="24"/>
          <w:lang w:eastAsia="zh-CN"/>
          <w14:ligatures w14:val="standardContextual"/>
        </w:rPr>
      </w:pPr>
      <w:hyperlink w:anchor="_Toc181988042" w:history="1">
        <w:r w:rsidR="00074897" w:rsidRPr="00F8081E">
          <w:rPr>
            <w:rStyle w:val="Hyperlink"/>
          </w:rPr>
          <w:t>Observation 5: ITU provides a clarification that for their normative work, a geostationary satellite is a geosynchronous satellite with an orbit the inclination of which is less than or equal to 15°. (WRC-03)</w:t>
        </w:r>
      </w:hyperlink>
    </w:p>
    <w:p w14:paraId="48C0FA74" w14:textId="6D455B1C" w:rsidR="00074897" w:rsidRDefault="00000000">
      <w:pPr>
        <w:pStyle w:val="TOC1"/>
        <w:rPr>
          <w:rFonts w:asciiTheme="minorHAnsi" w:eastAsiaTheme="minorEastAsia" w:hAnsiTheme="minorHAnsi"/>
          <w:b w:val="0"/>
          <w:iCs w:val="0"/>
          <w:kern w:val="2"/>
          <w:sz w:val="24"/>
          <w:szCs w:val="24"/>
          <w:lang w:eastAsia="zh-CN"/>
          <w14:ligatures w14:val="standardContextual"/>
        </w:rPr>
      </w:pPr>
      <w:hyperlink w:anchor="_Toc181988043" w:history="1">
        <w:r w:rsidR="00074897" w:rsidRPr="00F8081E">
          <w:rPr>
            <w:rStyle w:val="Hyperlink"/>
          </w:rPr>
          <w:t>Proposal 1: Define in TS 38.101-5 that GSO represents a geostationary satellite with an orbit the inclination of which is less than or equal to 15°.</w:t>
        </w:r>
      </w:hyperlink>
    </w:p>
    <w:p w14:paraId="25E23A2C" w14:textId="2E551B3E" w:rsidR="00847264" w:rsidRPr="00614DD8" w:rsidRDefault="005358A6" w:rsidP="008C39F7">
      <w:pPr>
        <w:rPr>
          <w:lang w:val="en-US"/>
        </w:rPr>
      </w:pPr>
      <w:r>
        <w:rPr>
          <w:b/>
          <w:i/>
          <w:noProof/>
          <w:u w:val="single"/>
          <w:lang w:val="en-US"/>
        </w:rPr>
        <w:fldChar w:fldCharType="end"/>
      </w:r>
    </w:p>
    <w:p w14:paraId="72DE7A3B" w14:textId="77777777" w:rsidR="003B659E" w:rsidRPr="00614DD8" w:rsidRDefault="003B659E" w:rsidP="0060543D">
      <w:pPr>
        <w:pStyle w:val="RAN4H1"/>
        <w:numPr>
          <w:ilvl w:val="0"/>
          <w:numId w:val="0"/>
        </w:numPr>
        <w:ind w:left="360" w:hanging="360"/>
        <w:rPr>
          <w:lang w:val="en-US"/>
        </w:rPr>
      </w:pPr>
      <w:r w:rsidRPr="00614DD8">
        <w:rPr>
          <w:lang w:val="en-US"/>
        </w:rPr>
        <w:lastRenderedPageBreak/>
        <w:t>References</w:t>
      </w:r>
      <w:bookmarkEnd w:id="13"/>
    </w:p>
    <w:p w14:paraId="5C0417E0" w14:textId="77777777" w:rsidR="00746507" w:rsidRDefault="00746507" w:rsidP="00746507">
      <w:pPr>
        <w:pStyle w:val="ListParagraph"/>
        <w:numPr>
          <w:ilvl w:val="0"/>
          <w:numId w:val="21"/>
        </w:numPr>
        <w:ind w:right="-22"/>
      </w:pPr>
      <w:bookmarkStart w:id="14" w:name="_Ref114500673"/>
      <w:bookmarkStart w:id="15" w:name="_Ref158813489"/>
      <w:bookmarkStart w:id="16" w:name="_Ref118130196"/>
      <w:bookmarkEnd w:id="14"/>
      <w:r w:rsidRPr="0043217D">
        <w:rPr>
          <w:rFonts w:cs="Arial"/>
          <w:sz w:val="18"/>
          <w:szCs w:val="18"/>
        </w:rPr>
        <w:t>T</w:t>
      </w:r>
      <w:r>
        <w:rPr>
          <w:rFonts w:cs="Arial"/>
          <w:sz w:val="18"/>
          <w:szCs w:val="18"/>
        </w:rPr>
        <w:t>R</w:t>
      </w:r>
      <w:r w:rsidRPr="0043217D">
        <w:rPr>
          <w:rFonts w:cs="Arial"/>
          <w:sz w:val="18"/>
          <w:szCs w:val="18"/>
        </w:rPr>
        <w:t xml:space="preserve"> 38.</w:t>
      </w:r>
      <w:r>
        <w:rPr>
          <w:rFonts w:cs="Arial"/>
          <w:sz w:val="18"/>
          <w:szCs w:val="18"/>
        </w:rPr>
        <w:t>821</w:t>
      </w:r>
      <w:r w:rsidRPr="0043217D">
        <w:rPr>
          <w:rFonts w:cs="Arial"/>
          <w:sz w:val="18"/>
          <w:szCs w:val="18"/>
        </w:rPr>
        <w:t xml:space="preserve">. </w:t>
      </w:r>
      <w:r w:rsidRPr="009151FA">
        <w:rPr>
          <w:rFonts w:cs="Arial"/>
          <w:i/>
          <w:iCs/>
          <w:sz w:val="18"/>
          <w:szCs w:val="18"/>
        </w:rPr>
        <w:t>Solutions for NR to support non-terrestrial networks (NTN)</w:t>
      </w:r>
      <w:r w:rsidRPr="0043217D">
        <w:rPr>
          <w:rFonts w:cs="Arial"/>
          <w:sz w:val="18"/>
          <w:szCs w:val="18"/>
        </w:rPr>
        <w:t>. V1</w:t>
      </w:r>
      <w:r>
        <w:rPr>
          <w:rFonts w:cs="Arial"/>
          <w:sz w:val="18"/>
          <w:szCs w:val="18"/>
        </w:rPr>
        <w:t>6</w:t>
      </w:r>
      <w:r w:rsidRPr="0043217D">
        <w:rPr>
          <w:rFonts w:cs="Arial"/>
          <w:sz w:val="18"/>
          <w:szCs w:val="18"/>
        </w:rPr>
        <w:t>.</w:t>
      </w:r>
      <w:r>
        <w:rPr>
          <w:rFonts w:cs="Arial"/>
          <w:sz w:val="18"/>
          <w:szCs w:val="18"/>
        </w:rPr>
        <w:t>2</w:t>
      </w:r>
      <w:r w:rsidRPr="0043217D">
        <w:rPr>
          <w:rFonts w:cs="Arial"/>
          <w:sz w:val="18"/>
          <w:szCs w:val="18"/>
        </w:rPr>
        <w:t>.0. 3GPP</w:t>
      </w:r>
      <w:r>
        <w:t>.</w:t>
      </w:r>
      <w:bookmarkEnd w:id="15"/>
      <w:r>
        <w:t xml:space="preserve"> </w:t>
      </w:r>
    </w:p>
    <w:p w14:paraId="2414E2B0" w14:textId="77777777" w:rsidR="00746507" w:rsidRDefault="00746507" w:rsidP="00746507">
      <w:pPr>
        <w:pStyle w:val="ListParagraph"/>
        <w:numPr>
          <w:ilvl w:val="0"/>
          <w:numId w:val="21"/>
        </w:numPr>
        <w:ind w:right="-22"/>
      </w:pPr>
      <w:bookmarkStart w:id="17" w:name="_Ref165896856"/>
      <w:r w:rsidRPr="0043217D">
        <w:rPr>
          <w:rFonts w:cs="Arial"/>
          <w:sz w:val="18"/>
          <w:szCs w:val="18"/>
        </w:rPr>
        <w:t>TS 38.3</w:t>
      </w:r>
      <w:r>
        <w:rPr>
          <w:rFonts w:cs="Arial"/>
          <w:sz w:val="18"/>
          <w:szCs w:val="18"/>
        </w:rPr>
        <w:t>00</w:t>
      </w:r>
      <w:r w:rsidRPr="0043217D">
        <w:rPr>
          <w:rFonts w:cs="Arial"/>
          <w:sz w:val="18"/>
          <w:szCs w:val="18"/>
        </w:rPr>
        <w:t xml:space="preserve">. </w:t>
      </w:r>
      <w:r w:rsidRPr="00746507">
        <w:rPr>
          <w:rFonts w:cs="Arial"/>
          <w:i/>
          <w:iCs/>
          <w:sz w:val="18"/>
          <w:szCs w:val="18"/>
        </w:rPr>
        <w:t>R; NR and NG-RAN Overall description; Stage-2</w:t>
      </w:r>
      <w:r w:rsidRPr="0043217D">
        <w:rPr>
          <w:rFonts w:cs="Arial"/>
          <w:sz w:val="18"/>
          <w:szCs w:val="18"/>
        </w:rPr>
        <w:t xml:space="preserve"> V18.</w:t>
      </w:r>
      <w:r>
        <w:rPr>
          <w:rFonts w:cs="Arial"/>
          <w:sz w:val="18"/>
          <w:szCs w:val="18"/>
        </w:rPr>
        <w:t>1</w:t>
      </w:r>
      <w:r w:rsidRPr="0043217D">
        <w:rPr>
          <w:rFonts w:cs="Arial"/>
          <w:sz w:val="18"/>
          <w:szCs w:val="18"/>
        </w:rPr>
        <w:t>.0. 3GPP</w:t>
      </w:r>
      <w:r>
        <w:t>.</w:t>
      </w:r>
      <w:bookmarkEnd w:id="17"/>
      <w:r>
        <w:t xml:space="preserve"> </w:t>
      </w:r>
    </w:p>
    <w:p w14:paraId="50494C82" w14:textId="77777777" w:rsidR="00746507" w:rsidRDefault="00746507" w:rsidP="00746507">
      <w:pPr>
        <w:pStyle w:val="ListParagraph"/>
        <w:numPr>
          <w:ilvl w:val="0"/>
          <w:numId w:val="21"/>
        </w:numPr>
        <w:ind w:right="-22"/>
      </w:pPr>
      <w:bookmarkStart w:id="18" w:name="_Ref165896894"/>
      <w:r w:rsidRPr="0043217D">
        <w:rPr>
          <w:rFonts w:cs="Arial"/>
          <w:sz w:val="18"/>
          <w:szCs w:val="18"/>
        </w:rPr>
        <w:t xml:space="preserve">TS 38.331. </w:t>
      </w:r>
      <w:r w:rsidRPr="0043217D">
        <w:rPr>
          <w:rFonts w:cs="Arial"/>
          <w:i/>
          <w:iCs/>
          <w:sz w:val="18"/>
          <w:szCs w:val="18"/>
        </w:rPr>
        <w:t xml:space="preserve">NR; </w:t>
      </w:r>
      <w:r w:rsidRPr="0043217D">
        <w:rPr>
          <w:rFonts w:ascii="Arial" w:hAnsi="Arial" w:cs="Arial"/>
          <w:i/>
          <w:iCs/>
          <w:color w:val="000000"/>
          <w:sz w:val="18"/>
          <w:szCs w:val="18"/>
        </w:rPr>
        <w:t>Radio Resource Control (RRC); Protocol specification</w:t>
      </w:r>
      <w:r w:rsidRPr="0043217D">
        <w:rPr>
          <w:rFonts w:cs="Arial"/>
          <w:sz w:val="18"/>
          <w:szCs w:val="18"/>
        </w:rPr>
        <w:t>. V18.</w:t>
      </w:r>
      <w:r>
        <w:rPr>
          <w:rFonts w:cs="Arial"/>
          <w:sz w:val="18"/>
          <w:szCs w:val="18"/>
        </w:rPr>
        <w:t>1</w:t>
      </w:r>
      <w:r w:rsidRPr="0043217D">
        <w:rPr>
          <w:rFonts w:cs="Arial"/>
          <w:sz w:val="18"/>
          <w:szCs w:val="18"/>
        </w:rPr>
        <w:t>.0. 3GPP</w:t>
      </w:r>
      <w:bookmarkEnd w:id="16"/>
      <w:r>
        <w:t>.</w:t>
      </w:r>
      <w:bookmarkEnd w:id="18"/>
      <w:r>
        <w:t xml:space="preserve"> </w:t>
      </w:r>
    </w:p>
    <w:p w14:paraId="2708F783" w14:textId="77777777" w:rsidR="00746507" w:rsidRPr="00381F95" w:rsidRDefault="00746507" w:rsidP="00746507">
      <w:pPr>
        <w:pStyle w:val="ListParagraph"/>
        <w:numPr>
          <w:ilvl w:val="0"/>
          <w:numId w:val="21"/>
        </w:numPr>
        <w:ind w:right="-22"/>
      </w:pPr>
      <w:bookmarkStart w:id="19" w:name="_Ref165896881"/>
      <w:r w:rsidRPr="0043217D">
        <w:rPr>
          <w:rFonts w:cs="Arial"/>
          <w:sz w:val="18"/>
          <w:szCs w:val="18"/>
        </w:rPr>
        <w:t>T</w:t>
      </w:r>
      <w:r>
        <w:rPr>
          <w:rFonts w:cs="Arial"/>
          <w:sz w:val="18"/>
          <w:szCs w:val="18"/>
        </w:rPr>
        <w:t>R</w:t>
      </w:r>
      <w:r w:rsidRPr="0043217D">
        <w:rPr>
          <w:rFonts w:cs="Arial"/>
          <w:sz w:val="18"/>
          <w:szCs w:val="18"/>
        </w:rPr>
        <w:t xml:space="preserve"> 38.</w:t>
      </w:r>
      <w:r>
        <w:rPr>
          <w:rFonts w:cs="Arial"/>
          <w:sz w:val="18"/>
          <w:szCs w:val="18"/>
        </w:rPr>
        <w:t>133</w:t>
      </w:r>
      <w:r w:rsidRPr="0043217D">
        <w:rPr>
          <w:rFonts w:cs="Arial"/>
          <w:sz w:val="18"/>
          <w:szCs w:val="18"/>
        </w:rPr>
        <w:t xml:space="preserve">. </w:t>
      </w:r>
      <w:r w:rsidRPr="00746507">
        <w:rPr>
          <w:rFonts w:cs="Arial"/>
          <w:i/>
          <w:iCs/>
          <w:sz w:val="18"/>
          <w:szCs w:val="18"/>
        </w:rPr>
        <w:t>NR; Requirements for support of radio resource management</w:t>
      </w:r>
      <w:r>
        <w:rPr>
          <w:rFonts w:cs="Arial"/>
          <w:i/>
          <w:iCs/>
          <w:sz w:val="18"/>
          <w:szCs w:val="18"/>
        </w:rPr>
        <w:t xml:space="preserve"> </w:t>
      </w:r>
      <w:r w:rsidRPr="0043217D">
        <w:rPr>
          <w:rFonts w:cs="Arial"/>
          <w:sz w:val="18"/>
          <w:szCs w:val="18"/>
        </w:rPr>
        <w:t>V1</w:t>
      </w:r>
      <w:r>
        <w:rPr>
          <w:rFonts w:cs="Arial"/>
          <w:sz w:val="18"/>
          <w:szCs w:val="18"/>
        </w:rPr>
        <w:t>8</w:t>
      </w:r>
      <w:r w:rsidRPr="0043217D">
        <w:rPr>
          <w:rFonts w:cs="Arial"/>
          <w:sz w:val="18"/>
          <w:szCs w:val="18"/>
        </w:rPr>
        <w:t>.</w:t>
      </w:r>
      <w:r>
        <w:rPr>
          <w:rFonts w:cs="Arial"/>
          <w:sz w:val="18"/>
          <w:szCs w:val="18"/>
        </w:rPr>
        <w:t>5</w:t>
      </w:r>
      <w:r w:rsidRPr="0043217D">
        <w:rPr>
          <w:rFonts w:cs="Arial"/>
          <w:sz w:val="18"/>
          <w:szCs w:val="18"/>
        </w:rPr>
        <w:t>.0. 3GPP</w:t>
      </w:r>
      <w:r>
        <w:t>.</w:t>
      </w:r>
      <w:bookmarkEnd w:id="19"/>
      <w:r>
        <w:t xml:space="preserve"> </w:t>
      </w:r>
    </w:p>
    <w:p w14:paraId="1E0C1FBA" w14:textId="77777777" w:rsidR="00746507" w:rsidRPr="00381F95" w:rsidRDefault="00746507" w:rsidP="00746507">
      <w:pPr>
        <w:pStyle w:val="ListParagraph"/>
        <w:numPr>
          <w:ilvl w:val="0"/>
          <w:numId w:val="21"/>
        </w:numPr>
        <w:ind w:right="-22"/>
      </w:pPr>
      <w:bookmarkStart w:id="20" w:name="_Ref166495364"/>
      <w:r w:rsidRPr="0089120B">
        <w:t>R4-2303687</w:t>
      </w:r>
      <w:r>
        <w:t xml:space="preserve">, </w:t>
      </w:r>
      <w:r w:rsidR="00616501" w:rsidRPr="00616501">
        <w:rPr>
          <w:i/>
          <w:iCs/>
        </w:rPr>
        <w:t>Updated Rel-17 RAN4 UE feature list for NR</w:t>
      </w:r>
      <w:r w:rsidR="00616501">
        <w:t xml:space="preserve">, CMCC, </w:t>
      </w:r>
      <w:r w:rsidR="00616501" w:rsidRPr="00616501">
        <w:t>Athens, Greece, February 27 – March 3, 2022</w:t>
      </w:r>
      <w:bookmarkEnd w:id="20"/>
    </w:p>
    <w:p w14:paraId="5229F2D1" w14:textId="77777777" w:rsidR="00746507" w:rsidRDefault="00746507" w:rsidP="00746507">
      <w:pPr>
        <w:pStyle w:val="ListParagraph"/>
        <w:numPr>
          <w:ilvl w:val="0"/>
          <w:numId w:val="21"/>
        </w:numPr>
        <w:rPr>
          <w:rFonts w:cs="Arial"/>
          <w:sz w:val="18"/>
          <w:szCs w:val="18"/>
        </w:rPr>
      </w:pPr>
      <w:bookmarkStart w:id="21" w:name="_Ref166495380"/>
      <w:r w:rsidRPr="009302C1">
        <w:t>R4-2316967</w:t>
      </w:r>
      <w:r w:rsidR="00616501">
        <w:t xml:space="preserve">, </w:t>
      </w:r>
      <w:r w:rsidR="00616501" w:rsidRPr="00616501">
        <w:rPr>
          <w:i/>
          <w:iCs/>
        </w:rPr>
        <w:t>WF on NTN RAN task</w:t>
      </w:r>
      <w:r w:rsidR="00616501">
        <w:rPr>
          <w:i/>
          <w:iCs/>
        </w:rPr>
        <w:t xml:space="preserve">, </w:t>
      </w:r>
      <w:r w:rsidR="00616501" w:rsidRPr="00616501">
        <w:rPr>
          <w:rFonts w:cs="Arial"/>
          <w:sz w:val="18"/>
          <w:szCs w:val="18"/>
        </w:rPr>
        <w:t xml:space="preserve">MediaTek </w:t>
      </w:r>
      <w:proofErr w:type="spellStart"/>
      <w:r w:rsidR="00616501" w:rsidRPr="00616501">
        <w:rPr>
          <w:rFonts w:cs="Arial"/>
          <w:sz w:val="18"/>
          <w:szCs w:val="18"/>
        </w:rPr>
        <w:t>inc</w:t>
      </w:r>
      <w:proofErr w:type="spellEnd"/>
      <w:r w:rsidR="00616501" w:rsidRPr="00616501">
        <w:rPr>
          <w:rFonts w:cs="Arial"/>
          <w:sz w:val="18"/>
          <w:szCs w:val="18"/>
        </w:rPr>
        <w:t>, Xiamen, China, 9th – 13th October 2023</w:t>
      </w:r>
      <w:bookmarkEnd w:id="21"/>
    </w:p>
    <w:p w14:paraId="7A274DB8" w14:textId="7B84BE0D" w:rsidR="003E7F85" w:rsidRPr="003E7F85" w:rsidRDefault="003E7F85" w:rsidP="003E7F85">
      <w:pPr>
        <w:pStyle w:val="ListParagraph"/>
        <w:numPr>
          <w:ilvl w:val="0"/>
          <w:numId w:val="21"/>
        </w:numPr>
        <w:rPr>
          <w:rFonts w:cs="Arial"/>
          <w:sz w:val="18"/>
          <w:szCs w:val="18"/>
        </w:rPr>
      </w:pPr>
      <w:bookmarkStart w:id="22" w:name="_Ref181721052"/>
      <w:r w:rsidRPr="005358A6">
        <w:t>ITU-R, “</w:t>
      </w:r>
      <w:r>
        <w:t>Article 1 – Terms and Definitions”</w:t>
      </w:r>
      <w:bookmarkEnd w:id="22"/>
    </w:p>
    <w:p w14:paraId="1C0E3CAA" w14:textId="25A8BC7A" w:rsidR="005358A6" w:rsidRPr="005358A6" w:rsidRDefault="005358A6" w:rsidP="005358A6">
      <w:pPr>
        <w:pStyle w:val="ListParagraph"/>
        <w:numPr>
          <w:ilvl w:val="0"/>
          <w:numId w:val="21"/>
        </w:numPr>
        <w:rPr>
          <w:rFonts w:cs="Arial"/>
          <w:sz w:val="18"/>
          <w:szCs w:val="18"/>
        </w:rPr>
      </w:pPr>
      <w:bookmarkStart w:id="23" w:name="_Ref181721058"/>
      <w:r w:rsidRPr="005358A6">
        <w:t>ITU-R, “</w:t>
      </w:r>
      <w:r w:rsidR="003E7F85">
        <w:t>Article 9 -</w:t>
      </w:r>
      <w:r>
        <w:t>Procedure for effecting coordination with or obtaining agreement of other administrations” (WRC-15)</w:t>
      </w:r>
      <w:bookmarkEnd w:id="23"/>
    </w:p>
    <w:p w14:paraId="204C10C2" w14:textId="18EECBD4" w:rsidR="005358A6" w:rsidRPr="005358A6" w:rsidRDefault="005358A6" w:rsidP="00746507">
      <w:pPr>
        <w:pStyle w:val="ListParagraph"/>
        <w:numPr>
          <w:ilvl w:val="0"/>
          <w:numId w:val="21"/>
        </w:numPr>
        <w:rPr>
          <w:rFonts w:cs="Arial"/>
          <w:sz w:val="18"/>
          <w:szCs w:val="18"/>
        </w:rPr>
      </w:pPr>
      <w:r w:rsidRPr="005358A6">
        <w:t>ITU-R, “Article 11 – Notification and</w:t>
      </w:r>
      <w:r>
        <w:t xml:space="preserve"> Recording of Frequency Assignments” (WRC-15)</w:t>
      </w:r>
    </w:p>
    <w:p w14:paraId="0A398C51" w14:textId="77777777" w:rsidR="005358A6" w:rsidRPr="005358A6" w:rsidRDefault="005358A6" w:rsidP="003E7F85">
      <w:pPr>
        <w:pStyle w:val="ListParagraph"/>
        <w:rPr>
          <w:rFonts w:cs="Arial"/>
          <w:sz w:val="18"/>
          <w:szCs w:val="18"/>
        </w:rPr>
      </w:pPr>
    </w:p>
    <w:p w14:paraId="2E552A5F" w14:textId="77777777" w:rsidR="00E43BF9" w:rsidRPr="005358A6" w:rsidRDefault="00E43BF9" w:rsidP="00E43BF9">
      <w:pPr>
        <w:ind w:right="-22"/>
      </w:pPr>
    </w:p>
    <w:sectPr w:rsidR="00E43BF9" w:rsidRPr="005358A6" w:rsidSect="005C135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BD43B9" w14:textId="77777777" w:rsidR="00EE1285" w:rsidRDefault="00EE1285" w:rsidP="00001C9B">
      <w:pPr>
        <w:spacing w:after="0" w:line="240" w:lineRule="auto"/>
      </w:pPr>
      <w:r>
        <w:separator/>
      </w:r>
    </w:p>
  </w:endnote>
  <w:endnote w:type="continuationSeparator" w:id="0">
    <w:p w14:paraId="0DA040AE" w14:textId="77777777" w:rsidR="00EE1285" w:rsidRDefault="00EE1285" w:rsidP="00001C9B">
      <w:pPr>
        <w:spacing w:after="0" w:line="240" w:lineRule="auto"/>
      </w:pPr>
      <w:r>
        <w:continuationSeparator/>
      </w:r>
    </w:p>
  </w:endnote>
  <w:endnote w:type="continuationNotice" w:id="1">
    <w:p w14:paraId="7EB89CD1" w14:textId="77777777" w:rsidR="00EE1285" w:rsidRDefault="00EE12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9013B9" w14:textId="77777777" w:rsidR="00EE1285" w:rsidRDefault="00EE1285" w:rsidP="00001C9B">
      <w:pPr>
        <w:spacing w:after="0" w:line="240" w:lineRule="auto"/>
      </w:pPr>
      <w:r>
        <w:separator/>
      </w:r>
    </w:p>
  </w:footnote>
  <w:footnote w:type="continuationSeparator" w:id="0">
    <w:p w14:paraId="70E105C1" w14:textId="77777777" w:rsidR="00EE1285" w:rsidRDefault="00EE1285" w:rsidP="00001C9B">
      <w:pPr>
        <w:spacing w:after="0" w:line="240" w:lineRule="auto"/>
      </w:pPr>
      <w:r>
        <w:continuationSeparator/>
      </w:r>
    </w:p>
  </w:footnote>
  <w:footnote w:type="continuationNotice" w:id="1">
    <w:p w14:paraId="2EED5BD9" w14:textId="77777777" w:rsidR="00EE1285" w:rsidRDefault="00EE12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10"/>
  </w:num>
  <w:num w:numId="4" w16cid:durableId="517735681">
    <w:abstractNumId w:val="4"/>
  </w:num>
  <w:num w:numId="5" w16cid:durableId="1142041724">
    <w:abstractNumId w:val="13"/>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4"/>
  </w:num>
  <w:num w:numId="16" w16cid:durableId="516113510">
    <w:abstractNumId w:val="3"/>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9675913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1355"/>
    <w:rsid w:val="00001BD6"/>
    <w:rsid w:val="00001C9B"/>
    <w:rsid w:val="000040DC"/>
    <w:rsid w:val="00011784"/>
    <w:rsid w:val="000151EF"/>
    <w:rsid w:val="00021767"/>
    <w:rsid w:val="000239F5"/>
    <w:rsid w:val="00072CCA"/>
    <w:rsid w:val="00074897"/>
    <w:rsid w:val="0008612A"/>
    <w:rsid w:val="00090E18"/>
    <w:rsid w:val="000A10BC"/>
    <w:rsid w:val="000A7F53"/>
    <w:rsid w:val="000B0056"/>
    <w:rsid w:val="000C3C7B"/>
    <w:rsid w:val="000D0F93"/>
    <w:rsid w:val="000D11A5"/>
    <w:rsid w:val="000F7B83"/>
    <w:rsid w:val="00106416"/>
    <w:rsid w:val="00110481"/>
    <w:rsid w:val="001127C9"/>
    <w:rsid w:val="00114498"/>
    <w:rsid w:val="00115B88"/>
    <w:rsid w:val="00122F95"/>
    <w:rsid w:val="00132F6A"/>
    <w:rsid w:val="00133913"/>
    <w:rsid w:val="0013760B"/>
    <w:rsid w:val="00140221"/>
    <w:rsid w:val="00142F7F"/>
    <w:rsid w:val="001642FC"/>
    <w:rsid w:val="0016496B"/>
    <w:rsid w:val="001743E2"/>
    <w:rsid w:val="001745F8"/>
    <w:rsid w:val="001838CF"/>
    <w:rsid w:val="001868EE"/>
    <w:rsid w:val="001A3BA4"/>
    <w:rsid w:val="001A6D1F"/>
    <w:rsid w:val="001B1EA8"/>
    <w:rsid w:val="001C5F50"/>
    <w:rsid w:val="001E30F6"/>
    <w:rsid w:val="00217EE5"/>
    <w:rsid w:val="00235F5C"/>
    <w:rsid w:val="00257FA3"/>
    <w:rsid w:val="0027404B"/>
    <w:rsid w:val="00277B56"/>
    <w:rsid w:val="00282A74"/>
    <w:rsid w:val="002849D4"/>
    <w:rsid w:val="002A19F5"/>
    <w:rsid w:val="002B4922"/>
    <w:rsid w:val="002B69F3"/>
    <w:rsid w:val="002C22C3"/>
    <w:rsid w:val="002C2D19"/>
    <w:rsid w:val="002D10FA"/>
    <w:rsid w:val="002D4C55"/>
    <w:rsid w:val="002E6DED"/>
    <w:rsid w:val="00300956"/>
    <w:rsid w:val="00317187"/>
    <w:rsid w:val="0032499A"/>
    <w:rsid w:val="003341F7"/>
    <w:rsid w:val="00347E07"/>
    <w:rsid w:val="00347FEC"/>
    <w:rsid w:val="003509DF"/>
    <w:rsid w:val="00356F45"/>
    <w:rsid w:val="00366B74"/>
    <w:rsid w:val="00381F95"/>
    <w:rsid w:val="003A710A"/>
    <w:rsid w:val="003B659E"/>
    <w:rsid w:val="003C275E"/>
    <w:rsid w:val="003C4FDE"/>
    <w:rsid w:val="003E58DF"/>
    <w:rsid w:val="003E7F85"/>
    <w:rsid w:val="00404C4C"/>
    <w:rsid w:val="0041423F"/>
    <w:rsid w:val="00414F81"/>
    <w:rsid w:val="004159C2"/>
    <w:rsid w:val="00436A0F"/>
    <w:rsid w:val="00437150"/>
    <w:rsid w:val="0043750A"/>
    <w:rsid w:val="00447577"/>
    <w:rsid w:val="004732E9"/>
    <w:rsid w:val="004854BB"/>
    <w:rsid w:val="0049393F"/>
    <w:rsid w:val="00494493"/>
    <w:rsid w:val="00496606"/>
    <w:rsid w:val="004E5E66"/>
    <w:rsid w:val="004E7ADB"/>
    <w:rsid w:val="00503B4D"/>
    <w:rsid w:val="00504EE9"/>
    <w:rsid w:val="00514E4F"/>
    <w:rsid w:val="00521576"/>
    <w:rsid w:val="005250E6"/>
    <w:rsid w:val="005358A6"/>
    <w:rsid w:val="00542D23"/>
    <w:rsid w:val="0054442C"/>
    <w:rsid w:val="00550285"/>
    <w:rsid w:val="00562492"/>
    <w:rsid w:val="00572A20"/>
    <w:rsid w:val="005836F8"/>
    <w:rsid w:val="005918FA"/>
    <w:rsid w:val="005921C0"/>
    <w:rsid w:val="00592A86"/>
    <w:rsid w:val="005B3029"/>
    <w:rsid w:val="005B4801"/>
    <w:rsid w:val="005C1355"/>
    <w:rsid w:val="005C23A4"/>
    <w:rsid w:val="005D1CDF"/>
    <w:rsid w:val="005D2BB7"/>
    <w:rsid w:val="005D6FFE"/>
    <w:rsid w:val="005E61A8"/>
    <w:rsid w:val="005F6419"/>
    <w:rsid w:val="0060301D"/>
    <w:rsid w:val="0060543D"/>
    <w:rsid w:val="006104DD"/>
    <w:rsid w:val="006130B5"/>
    <w:rsid w:val="00614DD8"/>
    <w:rsid w:val="00616501"/>
    <w:rsid w:val="00617400"/>
    <w:rsid w:val="00632D29"/>
    <w:rsid w:val="00664950"/>
    <w:rsid w:val="00683220"/>
    <w:rsid w:val="006832E2"/>
    <w:rsid w:val="00687FA0"/>
    <w:rsid w:val="006A3C11"/>
    <w:rsid w:val="006B7010"/>
    <w:rsid w:val="006C3095"/>
    <w:rsid w:val="006E1151"/>
    <w:rsid w:val="006E6311"/>
    <w:rsid w:val="007145FF"/>
    <w:rsid w:val="00715B2A"/>
    <w:rsid w:val="00733B21"/>
    <w:rsid w:val="007450F1"/>
    <w:rsid w:val="00746507"/>
    <w:rsid w:val="00751515"/>
    <w:rsid w:val="007626B7"/>
    <w:rsid w:val="0078212B"/>
    <w:rsid w:val="00784DF6"/>
    <w:rsid w:val="00785232"/>
    <w:rsid w:val="007A6771"/>
    <w:rsid w:val="007B186C"/>
    <w:rsid w:val="007C1696"/>
    <w:rsid w:val="007C3ED0"/>
    <w:rsid w:val="007C48C4"/>
    <w:rsid w:val="007C5971"/>
    <w:rsid w:val="007E42DC"/>
    <w:rsid w:val="007F54B9"/>
    <w:rsid w:val="00806A76"/>
    <w:rsid w:val="00811C9D"/>
    <w:rsid w:val="00816C80"/>
    <w:rsid w:val="0081797B"/>
    <w:rsid w:val="00841BCD"/>
    <w:rsid w:val="00847264"/>
    <w:rsid w:val="00851A8E"/>
    <w:rsid w:val="0085365B"/>
    <w:rsid w:val="008826C1"/>
    <w:rsid w:val="00883DFD"/>
    <w:rsid w:val="0089210C"/>
    <w:rsid w:val="00893D2E"/>
    <w:rsid w:val="008A1BF7"/>
    <w:rsid w:val="008A5B0E"/>
    <w:rsid w:val="008B0961"/>
    <w:rsid w:val="008C2F5C"/>
    <w:rsid w:val="008C39F7"/>
    <w:rsid w:val="0090091A"/>
    <w:rsid w:val="009042BD"/>
    <w:rsid w:val="00904FE4"/>
    <w:rsid w:val="00927740"/>
    <w:rsid w:val="009302C1"/>
    <w:rsid w:val="00936159"/>
    <w:rsid w:val="00977E1D"/>
    <w:rsid w:val="009838BE"/>
    <w:rsid w:val="009B0573"/>
    <w:rsid w:val="009B7B4B"/>
    <w:rsid w:val="009B7C21"/>
    <w:rsid w:val="009E4E6E"/>
    <w:rsid w:val="00A04992"/>
    <w:rsid w:val="00A05426"/>
    <w:rsid w:val="00A147AA"/>
    <w:rsid w:val="00A21D71"/>
    <w:rsid w:val="00A22B78"/>
    <w:rsid w:val="00A246F7"/>
    <w:rsid w:val="00A25AE5"/>
    <w:rsid w:val="00A26442"/>
    <w:rsid w:val="00A331AC"/>
    <w:rsid w:val="00A37002"/>
    <w:rsid w:val="00A4355E"/>
    <w:rsid w:val="00A520D9"/>
    <w:rsid w:val="00A64DA0"/>
    <w:rsid w:val="00A75792"/>
    <w:rsid w:val="00A92BCD"/>
    <w:rsid w:val="00AA1B0E"/>
    <w:rsid w:val="00AA47B6"/>
    <w:rsid w:val="00AC163B"/>
    <w:rsid w:val="00AC5CA7"/>
    <w:rsid w:val="00AC6058"/>
    <w:rsid w:val="00AE2BA5"/>
    <w:rsid w:val="00AE56B1"/>
    <w:rsid w:val="00AE6D09"/>
    <w:rsid w:val="00AF2502"/>
    <w:rsid w:val="00AF5843"/>
    <w:rsid w:val="00AF7A7C"/>
    <w:rsid w:val="00B02070"/>
    <w:rsid w:val="00B365B9"/>
    <w:rsid w:val="00B408B6"/>
    <w:rsid w:val="00B542DA"/>
    <w:rsid w:val="00B73862"/>
    <w:rsid w:val="00B73F43"/>
    <w:rsid w:val="00B75BBF"/>
    <w:rsid w:val="00B81CDC"/>
    <w:rsid w:val="00BA308C"/>
    <w:rsid w:val="00BA6B66"/>
    <w:rsid w:val="00BA6E48"/>
    <w:rsid w:val="00BB093F"/>
    <w:rsid w:val="00BB7CB2"/>
    <w:rsid w:val="00BC5E9C"/>
    <w:rsid w:val="00BD56AC"/>
    <w:rsid w:val="00BE0AF6"/>
    <w:rsid w:val="00BE1F03"/>
    <w:rsid w:val="00BE58A7"/>
    <w:rsid w:val="00BF0BD4"/>
    <w:rsid w:val="00BF2218"/>
    <w:rsid w:val="00C0426B"/>
    <w:rsid w:val="00C045DF"/>
    <w:rsid w:val="00C26D43"/>
    <w:rsid w:val="00C35173"/>
    <w:rsid w:val="00C46548"/>
    <w:rsid w:val="00C52756"/>
    <w:rsid w:val="00C574D5"/>
    <w:rsid w:val="00C65D5A"/>
    <w:rsid w:val="00C6644A"/>
    <w:rsid w:val="00C73F32"/>
    <w:rsid w:val="00C87462"/>
    <w:rsid w:val="00C94F33"/>
    <w:rsid w:val="00CA180C"/>
    <w:rsid w:val="00CA61CC"/>
    <w:rsid w:val="00CB22B2"/>
    <w:rsid w:val="00CC3EE2"/>
    <w:rsid w:val="00CD7492"/>
    <w:rsid w:val="00CE3A6B"/>
    <w:rsid w:val="00D00211"/>
    <w:rsid w:val="00D006D1"/>
    <w:rsid w:val="00D025AE"/>
    <w:rsid w:val="00D06309"/>
    <w:rsid w:val="00D351EA"/>
    <w:rsid w:val="00D40288"/>
    <w:rsid w:val="00D43403"/>
    <w:rsid w:val="00D50A6B"/>
    <w:rsid w:val="00D5270B"/>
    <w:rsid w:val="00D62E71"/>
    <w:rsid w:val="00D6430D"/>
    <w:rsid w:val="00D66188"/>
    <w:rsid w:val="00D731F6"/>
    <w:rsid w:val="00D740CA"/>
    <w:rsid w:val="00D85728"/>
    <w:rsid w:val="00D95481"/>
    <w:rsid w:val="00DC7A13"/>
    <w:rsid w:val="00DE7064"/>
    <w:rsid w:val="00DF2997"/>
    <w:rsid w:val="00E10BC4"/>
    <w:rsid w:val="00E1415D"/>
    <w:rsid w:val="00E213BD"/>
    <w:rsid w:val="00E323E9"/>
    <w:rsid w:val="00E32FB6"/>
    <w:rsid w:val="00E34018"/>
    <w:rsid w:val="00E437D2"/>
    <w:rsid w:val="00E43BF9"/>
    <w:rsid w:val="00E51930"/>
    <w:rsid w:val="00E55751"/>
    <w:rsid w:val="00E7398E"/>
    <w:rsid w:val="00E94240"/>
    <w:rsid w:val="00EA2311"/>
    <w:rsid w:val="00EC7BC3"/>
    <w:rsid w:val="00ED7600"/>
    <w:rsid w:val="00EE1285"/>
    <w:rsid w:val="00EF6073"/>
    <w:rsid w:val="00EF698B"/>
    <w:rsid w:val="00F1362C"/>
    <w:rsid w:val="00F245A1"/>
    <w:rsid w:val="00F358F1"/>
    <w:rsid w:val="00F414F1"/>
    <w:rsid w:val="00F508B8"/>
    <w:rsid w:val="00F72CB1"/>
    <w:rsid w:val="00F8159F"/>
    <w:rsid w:val="00F8215E"/>
    <w:rsid w:val="00F824F5"/>
    <w:rsid w:val="00F85B9D"/>
    <w:rsid w:val="00F90FAB"/>
    <w:rsid w:val="00F9374D"/>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D95D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8A6"/>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616501"/>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PLChar">
    <w:name w:val="PL Char"/>
    <w:link w:val="PL"/>
    <w:qFormat/>
    <w:locked/>
    <w:rsid w:val="00122F9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122F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B1Char">
    <w:name w:val="B1 Char"/>
    <w:link w:val="B1"/>
    <w:qFormat/>
    <w:locked/>
    <w:rsid w:val="009302C1"/>
    <w:rPr>
      <w:rFonts w:ascii="Times New Roman" w:hAnsi="Times New Roman" w:cs="Times New Roman"/>
      <w:lang w:val="en-GB"/>
    </w:rPr>
  </w:style>
  <w:style w:type="paragraph" w:customStyle="1" w:styleId="B1">
    <w:name w:val="B1"/>
    <w:basedOn w:val="List"/>
    <w:link w:val="B1Char"/>
    <w:qFormat/>
    <w:rsid w:val="009302C1"/>
    <w:pPr>
      <w:spacing w:after="180" w:line="240" w:lineRule="auto"/>
      <w:ind w:left="568" w:hanging="284"/>
      <w:contextualSpacing w:val="0"/>
    </w:pPr>
    <w:rPr>
      <w:rFonts w:cs="Times New Roman"/>
      <w:sz w:val="22"/>
    </w:rPr>
  </w:style>
  <w:style w:type="paragraph" w:styleId="List">
    <w:name w:val="List"/>
    <w:basedOn w:val="Normal"/>
    <w:uiPriority w:val="99"/>
    <w:semiHidden/>
    <w:unhideWhenUsed/>
    <w:rsid w:val="009302C1"/>
    <w:pPr>
      <w:ind w:left="283" w:hanging="283"/>
      <w:contextualSpacing/>
    </w:pPr>
  </w:style>
  <w:style w:type="character" w:customStyle="1" w:styleId="span-src">
    <w:name w:val="span-src"/>
    <w:basedOn w:val="DefaultParagraphFont"/>
    <w:rsid w:val="00BD56AC"/>
  </w:style>
  <w:style w:type="paragraph" w:styleId="Header">
    <w:name w:val="header"/>
    <w:basedOn w:val="Normal"/>
    <w:link w:val="HeaderChar"/>
    <w:uiPriority w:val="99"/>
    <w:unhideWhenUsed/>
    <w:rsid w:val="00CA61CC"/>
    <w:pPr>
      <w:tabs>
        <w:tab w:val="center" w:pos="4819"/>
        <w:tab w:val="right" w:pos="9638"/>
      </w:tabs>
      <w:spacing w:after="0" w:line="240" w:lineRule="auto"/>
    </w:pPr>
  </w:style>
  <w:style w:type="character" w:customStyle="1" w:styleId="HeaderChar">
    <w:name w:val="Header Char"/>
    <w:basedOn w:val="DefaultParagraphFont"/>
    <w:link w:val="Header"/>
    <w:uiPriority w:val="99"/>
    <w:rsid w:val="00CA61CC"/>
    <w:rPr>
      <w:rFonts w:ascii="Times New Roman" w:hAnsi="Times New Roman"/>
      <w:sz w:val="20"/>
      <w:lang w:val="en-GB"/>
    </w:rPr>
  </w:style>
  <w:style w:type="paragraph" w:styleId="Footer">
    <w:name w:val="footer"/>
    <w:basedOn w:val="Normal"/>
    <w:link w:val="FooterChar"/>
    <w:uiPriority w:val="99"/>
    <w:unhideWhenUsed/>
    <w:rsid w:val="00CA61CC"/>
    <w:pPr>
      <w:tabs>
        <w:tab w:val="center" w:pos="4819"/>
        <w:tab w:val="right" w:pos="9638"/>
      </w:tabs>
      <w:spacing w:after="0" w:line="240" w:lineRule="auto"/>
    </w:pPr>
  </w:style>
  <w:style w:type="character" w:customStyle="1" w:styleId="FooterChar">
    <w:name w:val="Footer Char"/>
    <w:basedOn w:val="DefaultParagraphFont"/>
    <w:link w:val="Footer"/>
    <w:uiPriority w:val="99"/>
    <w:rsid w:val="00CA61CC"/>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32742">
      <w:bodyDiv w:val="1"/>
      <w:marLeft w:val="0"/>
      <w:marRight w:val="0"/>
      <w:marTop w:val="0"/>
      <w:marBottom w:val="0"/>
      <w:divBdr>
        <w:top w:val="none" w:sz="0" w:space="0" w:color="auto"/>
        <w:left w:val="none" w:sz="0" w:space="0" w:color="auto"/>
        <w:bottom w:val="none" w:sz="0" w:space="0" w:color="auto"/>
        <w:right w:val="none" w:sz="0" w:space="0" w:color="auto"/>
      </w:divBdr>
    </w:div>
    <w:div w:id="335619601">
      <w:bodyDiv w:val="1"/>
      <w:marLeft w:val="0"/>
      <w:marRight w:val="0"/>
      <w:marTop w:val="0"/>
      <w:marBottom w:val="0"/>
      <w:divBdr>
        <w:top w:val="none" w:sz="0" w:space="0" w:color="auto"/>
        <w:left w:val="none" w:sz="0" w:space="0" w:color="auto"/>
        <w:bottom w:val="none" w:sz="0" w:space="0" w:color="auto"/>
        <w:right w:val="none" w:sz="0" w:space="0" w:color="auto"/>
      </w:divBdr>
      <w:divsChild>
        <w:div w:id="544025970">
          <w:marLeft w:val="0"/>
          <w:marRight w:val="0"/>
          <w:marTop w:val="0"/>
          <w:marBottom w:val="0"/>
          <w:divBdr>
            <w:top w:val="none" w:sz="0" w:space="0" w:color="auto"/>
            <w:left w:val="none" w:sz="0" w:space="0" w:color="auto"/>
            <w:bottom w:val="none" w:sz="0" w:space="0" w:color="auto"/>
            <w:right w:val="none" w:sz="0" w:space="0" w:color="auto"/>
          </w:divBdr>
          <w:divsChild>
            <w:div w:id="641689608">
              <w:marLeft w:val="0"/>
              <w:marRight w:val="0"/>
              <w:marTop w:val="0"/>
              <w:marBottom w:val="0"/>
              <w:divBdr>
                <w:top w:val="none" w:sz="0" w:space="0" w:color="auto"/>
                <w:left w:val="none" w:sz="0" w:space="0" w:color="auto"/>
                <w:bottom w:val="none" w:sz="0" w:space="0" w:color="auto"/>
                <w:right w:val="none" w:sz="0" w:space="0" w:color="auto"/>
              </w:divBdr>
              <w:divsChild>
                <w:div w:id="1771585531">
                  <w:marLeft w:val="0"/>
                  <w:marRight w:val="0"/>
                  <w:marTop w:val="0"/>
                  <w:marBottom w:val="0"/>
                  <w:divBdr>
                    <w:top w:val="none" w:sz="0" w:space="0" w:color="auto"/>
                    <w:left w:val="none" w:sz="0" w:space="0" w:color="auto"/>
                    <w:bottom w:val="none" w:sz="0" w:space="0" w:color="auto"/>
                    <w:right w:val="none" w:sz="0" w:space="0" w:color="auto"/>
                  </w:divBdr>
                  <w:divsChild>
                    <w:div w:id="108993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911416">
      <w:bodyDiv w:val="1"/>
      <w:marLeft w:val="0"/>
      <w:marRight w:val="0"/>
      <w:marTop w:val="0"/>
      <w:marBottom w:val="0"/>
      <w:divBdr>
        <w:top w:val="none" w:sz="0" w:space="0" w:color="auto"/>
        <w:left w:val="none" w:sz="0" w:space="0" w:color="auto"/>
        <w:bottom w:val="none" w:sz="0" w:space="0" w:color="auto"/>
        <w:right w:val="none" w:sz="0" w:space="0" w:color="auto"/>
      </w:divBdr>
    </w:div>
    <w:div w:id="1508978193">
      <w:bodyDiv w:val="1"/>
      <w:marLeft w:val="0"/>
      <w:marRight w:val="0"/>
      <w:marTop w:val="0"/>
      <w:marBottom w:val="0"/>
      <w:divBdr>
        <w:top w:val="none" w:sz="0" w:space="0" w:color="auto"/>
        <w:left w:val="none" w:sz="0" w:space="0" w:color="auto"/>
        <w:bottom w:val="none" w:sz="0" w:space="0" w:color="auto"/>
        <w:right w:val="none" w:sz="0" w:space="0" w:color="auto"/>
      </w:divBdr>
    </w:div>
    <w:div w:id="1676954977">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1413</Words>
  <Characters>8055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2024-11-08T19:25:00Z</dcterms:created>
  <dcterms:modified xsi:type="dcterms:W3CDTF">2024-11-08T19:25:00Z</dcterms:modified>
</cp:coreProperties>
</file>